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E5" w:rsidRDefault="00A452E5">
      <w:proofErr w:type="gramStart"/>
      <w:r w:rsidRPr="00A452E5">
        <w:t>Методические подходы</w:t>
      </w:r>
      <w:proofErr w:type="gramEnd"/>
      <w:r w:rsidRPr="00A452E5">
        <w:t xml:space="preserve"> к оценке социально-экономической эффективности государственных программ субъекта РФ</w:t>
      </w:r>
    </w:p>
    <w:p w:rsidR="005B6226" w:rsidRDefault="005B6226"/>
    <w:p w:rsidR="005B6226" w:rsidRDefault="005B6226"/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  <w:lang w:eastAsia="en-US"/>
        </w:rPr>
        <w:id w:val="1589808679"/>
        <w:docPartObj>
          <w:docPartGallery w:val="Table of Contents"/>
          <w:docPartUnique/>
        </w:docPartObj>
      </w:sdtPr>
      <w:sdtContent>
        <w:p w:rsidR="005B6226" w:rsidRDefault="005B6226" w:rsidP="005B6226">
          <w:pPr>
            <w:pStyle w:val="ae"/>
            <w:jc w:val="center"/>
            <w:rPr>
              <w:rFonts w:ascii="Times New Roman" w:hAnsi="Times New Roman"/>
              <w:color w:val="auto"/>
            </w:rPr>
          </w:pPr>
          <w:r w:rsidRPr="005B6226">
            <w:rPr>
              <w:rFonts w:ascii="Times New Roman" w:hAnsi="Times New Roman"/>
              <w:color w:val="auto"/>
            </w:rPr>
            <w:t>Оглавление</w:t>
          </w:r>
        </w:p>
        <w:p w:rsidR="005B6226" w:rsidRPr="005B6226" w:rsidRDefault="005B6226" w:rsidP="005B6226">
          <w:pPr>
            <w:rPr>
              <w:lang w:eastAsia="ru-RU"/>
            </w:rPr>
          </w:pPr>
        </w:p>
        <w:p w:rsidR="000E7CBA" w:rsidRDefault="005B6226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379396" w:history="1">
            <w:r w:rsidR="000E7CBA" w:rsidRPr="002F2D3B">
              <w:rPr>
                <w:rStyle w:val="af"/>
                <w:noProof/>
              </w:rPr>
              <w:t>Введение</w:t>
            </w:r>
            <w:r w:rsidR="000E7CBA">
              <w:rPr>
                <w:noProof/>
                <w:webHidden/>
              </w:rPr>
              <w:tab/>
            </w:r>
            <w:r w:rsidR="000E7CBA">
              <w:rPr>
                <w:noProof/>
                <w:webHidden/>
              </w:rPr>
              <w:fldChar w:fldCharType="begin"/>
            </w:r>
            <w:r w:rsidR="000E7CBA">
              <w:rPr>
                <w:noProof/>
                <w:webHidden/>
              </w:rPr>
              <w:instrText xml:space="preserve"> PAGEREF _Toc31379396 \h </w:instrText>
            </w:r>
            <w:r w:rsidR="000E7CBA">
              <w:rPr>
                <w:noProof/>
                <w:webHidden/>
              </w:rPr>
            </w:r>
            <w:r w:rsidR="000E7CBA">
              <w:rPr>
                <w:noProof/>
                <w:webHidden/>
              </w:rPr>
              <w:fldChar w:fldCharType="separate"/>
            </w:r>
            <w:r w:rsidR="000E7CBA">
              <w:rPr>
                <w:noProof/>
                <w:webHidden/>
              </w:rPr>
              <w:t>3</w:t>
            </w:r>
            <w:r w:rsidR="000E7CBA">
              <w:rPr>
                <w:noProof/>
                <w:webHidden/>
              </w:rPr>
              <w:fldChar w:fldCharType="end"/>
            </w:r>
          </w:hyperlink>
        </w:p>
        <w:p w:rsidR="000E7CBA" w:rsidRDefault="000E7CBA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1379397" w:history="1">
            <w:r w:rsidRPr="002F2D3B">
              <w:rPr>
                <w:rStyle w:val="af"/>
                <w:noProof/>
              </w:rPr>
              <w:t>1. Теоретические аспекты формирования и разработки целевых государственных программ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_Toc31379397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CBA" w:rsidRDefault="000E7CBA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1379398" w:history="1">
            <w:r w:rsidRPr="002F2D3B">
              <w:rPr>
                <w:rStyle w:val="af"/>
                <w:noProof/>
              </w:rPr>
              <w:t>1.1 Сущность и виды целевых государственных программ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_Toc31379398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CBA" w:rsidRDefault="000E7CBA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1379399" w:history="1">
            <w:r w:rsidRPr="002F2D3B">
              <w:rPr>
                <w:rStyle w:val="af"/>
                <w:noProof/>
              </w:rPr>
              <w:t>1.2 Методики оценки государственных целевых программ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_Toc31379399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CBA" w:rsidRDefault="000E7CBA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1379400" w:history="1">
            <w:r w:rsidRPr="002F2D3B">
              <w:rPr>
                <w:rStyle w:val="af"/>
                <w:noProof/>
              </w:rPr>
              <w:t>2. Оценка эффективности государственной программы «Повышение производительности труда и поддержка занятости»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_Toc31379400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CBA" w:rsidRDefault="000E7CBA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1379401" w:history="1">
            <w:r w:rsidRPr="002F2D3B">
              <w:rPr>
                <w:rStyle w:val="af"/>
                <w:noProof/>
              </w:rPr>
              <w:t>2.1 Основные проблемы исполнения национальной программы «Повышение производительности труда и поддержка занятости»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_Toc31379401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CBA" w:rsidRDefault="000E7CBA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1379402" w:history="1">
            <w:r w:rsidRPr="002F2D3B">
              <w:rPr>
                <w:rStyle w:val="af"/>
                <w:noProof/>
              </w:rPr>
              <w:t>2.3 Перспективы развития государственной программы «Повышение производительности труда и поддержка занятости»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_Toc31379402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CBA" w:rsidRDefault="000E7CBA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1379403" w:history="1">
            <w:r w:rsidRPr="002F2D3B">
              <w:rPr>
                <w:rStyle w:val="af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_Toc31379403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CBA" w:rsidRDefault="000E7CBA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1379404" w:history="1">
            <w:r w:rsidRPr="002F2D3B">
              <w:rPr>
                <w:rStyle w:val="af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_Toc31379404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6226" w:rsidRDefault="005B6226">
          <w:r>
            <w:rPr>
              <w:b/>
              <w:bCs/>
            </w:rPr>
            <w:fldChar w:fldCharType="end"/>
          </w:r>
        </w:p>
      </w:sdtContent>
    </w:sdt>
    <w:p w:rsidR="005B6226" w:rsidRDefault="005B6226"/>
    <w:p w:rsidR="00A452E5" w:rsidRDefault="00A452E5">
      <w:pPr>
        <w:spacing w:after="200" w:line="276" w:lineRule="auto"/>
        <w:jc w:val="left"/>
      </w:pPr>
      <w:r>
        <w:br w:type="page"/>
      </w:r>
    </w:p>
    <w:p w:rsidR="00923279" w:rsidRDefault="00A452E5" w:rsidP="00A452E5">
      <w:pPr>
        <w:pStyle w:val="1"/>
      </w:pPr>
      <w:bookmarkStart w:id="0" w:name="_Toc31379396"/>
      <w:r>
        <w:lastRenderedPageBreak/>
        <w:t>Введение</w:t>
      </w:r>
      <w:bookmarkEnd w:id="0"/>
    </w:p>
    <w:p w:rsidR="00A452E5" w:rsidRDefault="00A452E5"/>
    <w:p w:rsidR="00762FFB" w:rsidRDefault="00762FFB" w:rsidP="00762FFB">
      <w:pPr>
        <w:ind w:firstLine="709"/>
      </w:pPr>
      <w:r>
        <w:t xml:space="preserve">Актуальность исследования обусловлено тем, что согласно Президентскому посланию основной целью развития является повышение эффективности проводимых мероприятий по реализации стратегии развития как страны в целом, так и субъектов Российской Федерации. </w:t>
      </w:r>
    </w:p>
    <w:p w:rsidR="00762FFB" w:rsidRDefault="00762FFB" w:rsidP="00762FFB">
      <w:pPr>
        <w:ind w:firstLine="709"/>
      </w:pPr>
      <w:r>
        <w:t>На практике это сводится к внедрению современного регионального инструмента управления. Государственная программа является одним из основных инструментов реализации государственной политики в целях решения социально-экономических проблем территории. В настоящее время более 90% бюджета РФ, входящих в состав субъектов РФ, формируется на основе государственных программ социально-экономического развития региона.</w:t>
      </w:r>
    </w:p>
    <w:p w:rsidR="00762FFB" w:rsidRDefault="00762FFB" w:rsidP="00762FFB">
      <w:pPr>
        <w:ind w:firstLine="709"/>
      </w:pPr>
      <w:r>
        <w:t xml:space="preserve">Между тем программно-целевое управление требует постоянного контроля и </w:t>
      </w:r>
      <w:proofErr w:type="gramStart"/>
      <w:r>
        <w:t>контроля за</w:t>
      </w:r>
      <w:proofErr w:type="gramEnd"/>
      <w:r>
        <w:t xml:space="preserve"> выполнением государственной программы. Как инструмент оценки программы позволяет не только отслеживать степень реализации запланированных мероприятий и степень освоения ресурсов, но и выявлять степень достижения поставленных целей и отклонения от поставленных целей, адаптировать мероприятия для достижения конечной цели программы, что помогает более глубоко и полно понять особенности социально-экономического развития территории.</w:t>
      </w:r>
    </w:p>
    <w:p w:rsidR="00A452E5" w:rsidRDefault="00762FFB" w:rsidP="00762FFB">
      <w:pPr>
        <w:ind w:firstLine="709"/>
      </w:pPr>
      <w:r>
        <w:t>Целью настоящего исследования является анализ методологических подходов оценки эффективности государственных программ и разработка предложений по их совершенствованию в соответствии с принципами стратегического планирования в России.</w:t>
      </w:r>
    </w:p>
    <w:p w:rsidR="00762FFB" w:rsidRDefault="00762FFB" w:rsidP="00762FFB">
      <w:pPr>
        <w:ind w:firstLine="709"/>
      </w:pPr>
      <w:r>
        <w:t>Задачи исследования:</w:t>
      </w:r>
    </w:p>
    <w:p w:rsidR="00762FFB" w:rsidRDefault="00762FFB" w:rsidP="00762FFB">
      <w:pPr>
        <w:ind w:firstLine="709"/>
      </w:pPr>
      <w:r>
        <w:t>- раскрыть понятие и цели реализации государственных программ;</w:t>
      </w:r>
    </w:p>
    <w:p w:rsidR="00762FFB" w:rsidRDefault="00762FFB" w:rsidP="00762FFB">
      <w:pPr>
        <w:ind w:firstLine="709"/>
      </w:pPr>
      <w:r>
        <w:t xml:space="preserve">- рассмотреть методики оценки государственных программ, нормативно </w:t>
      </w:r>
      <w:proofErr w:type="gramStart"/>
      <w:r>
        <w:t>–п</w:t>
      </w:r>
      <w:proofErr w:type="gramEnd"/>
      <w:r>
        <w:t>равовые аспекты реализации государственных программ.</w:t>
      </w:r>
    </w:p>
    <w:p w:rsidR="00762FFB" w:rsidRDefault="00762FFB" w:rsidP="00762FFB">
      <w:pPr>
        <w:ind w:firstLine="709"/>
      </w:pPr>
      <w:r>
        <w:lastRenderedPageBreak/>
        <w:t xml:space="preserve">- на примере </w:t>
      </w:r>
      <w:r w:rsidR="004845C6">
        <w:t>Свердловской области</w:t>
      </w:r>
      <w:r>
        <w:t xml:space="preserve"> рассмотреть эффективность государственной</w:t>
      </w:r>
      <w:r w:rsidR="004845C6">
        <w:t xml:space="preserve"> муниципальной</w:t>
      </w:r>
      <w:r>
        <w:t xml:space="preserve"> программы «</w:t>
      </w:r>
      <w:r w:rsidR="004845C6" w:rsidRPr="00B4397A">
        <w:t>поддержк</w:t>
      </w:r>
      <w:r w:rsidR="004845C6">
        <w:t>а</w:t>
      </w:r>
      <w:r w:rsidR="004845C6" w:rsidRPr="00B4397A">
        <w:t xml:space="preserve"> молодых семей в </w:t>
      </w:r>
      <w:proofErr w:type="spellStart"/>
      <w:r w:rsidR="004845C6" w:rsidRPr="00B4397A">
        <w:t>Верхнесергинском</w:t>
      </w:r>
      <w:proofErr w:type="spellEnd"/>
      <w:r w:rsidR="004845C6" w:rsidRPr="00B4397A">
        <w:t xml:space="preserve"> муниципальном образовании</w:t>
      </w:r>
      <w:r>
        <w:t>»</w:t>
      </w:r>
    </w:p>
    <w:p w:rsidR="00762FFB" w:rsidRDefault="00762FFB" w:rsidP="00762FFB">
      <w:pPr>
        <w:ind w:firstLine="709"/>
      </w:pPr>
      <w:r>
        <w:t xml:space="preserve">- предложить рекомендации </w:t>
      </w:r>
      <w:r w:rsidR="00DA1432">
        <w:t xml:space="preserve">по применению больших критериев при </w:t>
      </w:r>
      <w:r w:rsidR="00DA1432" w:rsidRPr="00A452E5">
        <w:t>оценке социально-экономической эффективности государственных программ субъекта РФ</w:t>
      </w:r>
      <w:r w:rsidR="00DA1432">
        <w:t>.</w:t>
      </w:r>
    </w:p>
    <w:p w:rsidR="004845C6" w:rsidRDefault="00DA1432" w:rsidP="004845C6">
      <w:pPr>
        <w:ind w:firstLine="709"/>
      </w:pPr>
      <w:r w:rsidRPr="00AA1948">
        <w:rPr>
          <w:color w:val="000000"/>
          <w:szCs w:val="28"/>
        </w:rPr>
        <w:t>Объектом исследования при выполнении курсовой работы является целевая государственная программа «</w:t>
      </w:r>
      <w:r w:rsidR="004845C6">
        <w:t>«</w:t>
      </w:r>
      <w:proofErr w:type="spellStart"/>
      <w:r w:rsidR="004845C6">
        <w:t>П</w:t>
      </w:r>
      <w:r w:rsidR="004845C6" w:rsidRPr="00B4397A">
        <w:t>поддержк</w:t>
      </w:r>
      <w:r w:rsidR="004845C6">
        <w:t>а</w:t>
      </w:r>
      <w:proofErr w:type="spellEnd"/>
      <w:r w:rsidR="004845C6" w:rsidRPr="00B4397A">
        <w:t xml:space="preserve"> молодых семей в </w:t>
      </w:r>
      <w:proofErr w:type="spellStart"/>
      <w:r w:rsidR="004845C6" w:rsidRPr="00B4397A">
        <w:t>Верхнесергинском</w:t>
      </w:r>
      <w:proofErr w:type="spellEnd"/>
      <w:r w:rsidR="004845C6" w:rsidRPr="00B4397A">
        <w:t xml:space="preserve"> муниципальном образовании</w:t>
      </w:r>
      <w:r w:rsidR="004845C6">
        <w:t>».</w:t>
      </w:r>
    </w:p>
    <w:p w:rsidR="00DA1432" w:rsidRPr="00AA1948" w:rsidRDefault="00DA1432" w:rsidP="00DA1432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1948">
        <w:rPr>
          <w:rFonts w:ascii="Times New Roman" w:hAnsi="Times New Roman"/>
          <w:color w:val="000000"/>
          <w:sz w:val="28"/>
          <w:szCs w:val="28"/>
        </w:rPr>
        <w:t>Предметом исследования являются методы разработки и оценки целевых государственных программ.</w:t>
      </w:r>
    </w:p>
    <w:p w:rsidR="00DA1432" w:rsidRDefault="00DA1432" w:rsidP="00762FFB">
      <w:pPr>
        <w:ind w:firstLine="709"/>
      </w:pPr>
      <w:r>
        <w:t>Курсовая работа состоит из введения, двух глав, заключения и списка литературы.</w:t>
      </w:r>
    </w:p>
    <w:p w:rsidR="00DA1432" w:rsidRDefault="00DA1432" w:rsidP="00762FFB">
      <w:pPr>
        <w:ind w:firstLine="709"/>
      </w:pPr>
      <w:r>
        <w:t>В ходе написания курсовой работы были использованы методы сравнения, описания, синтеза.</w:t>
      </w:r>
    </w:p>
    <w:p w:rsidR="00DA1432" w:rsidRDefault="00DA1432">
      <w:pPr>
        <w:spacing w:after="200" w:line="276" w:lineRule="auto"/>
        <w:jc w:val="left"/>
      </w:pPr>
      <w:r>
        <w:br w:type="page"/>
      </w:r>
    </w:p>
    <w:p w:rsidR="00A43A3D" w:rsidRDefault="00A43A3D" w:rsidP="00A43A3D">
      <w:pPr>
        <w:pStyle w:val="1"/>
      </w:pPr>
      <w:bookmarkStart w:id="1" w:name="_Toc31379397"/>
      <w:r>
        <w:lastRenderedPageBreak/>
        <w:t>1. Теоретические аспекты формирования и разработки целевых государственных программ</w:t>
      </w:r>
      <w:bookmarkEnd w:id="1"/>
    </w:p>
    <w:p w:rsidR="00A43A3D" w:rsidRDefault="00A43A3D" w:rsidP="00A43A3D">
      <w:pPr>
        <w:ind w:firstLine="709"/>
      </w:pPr>
    </w:p>
    <w:p w:rsidR="00DA1432" w:rsidRDefault="00A43A3D" w:rsidP="00A43A3D">
      <w:pPr>
        <w:pStyle w:val="1"/>
      </w:pPr>
      <w:bookmarkStart w:id="2" w:name="_Toc31379398"/>
      <w:r>
        <w:t>1.1 Сущность и виды целевых государственных программ</w:t>
      </w:r>
      <w:bookmarkEnd w:id="2"/>
    </w:p>
    <w:p w:rsidR="00A43A3D" w:rsidRDefault="00A43A3D" w:rsidP="00A43A3D"/>
    <w:p w:rsidR="003E7E0C" w:rsidRPr="003E7E0C" w:rsidRDefault="003E7E0C" w:rsidP="003E7E0C">
      <w:pPr>
        <w:ind w:firstLine="709"/>
      </w:pPr>
      <w:r w:rsidRPr="003E7E0C">
        <w:t>Устойчивое развитие региона  –  это концепция, стратегия развития территориальной единицы страны, в которой будет ликвидирована бедность, гарантируется безопасность, обеспечивается санитария районов питьевого, строительства из местных материалов, ориентирована на снижение потребности в автомобилях</w:t>
      </w:r>
      <w:r w:rsidRPr="003E7E0C">
        <w:rPr>
          <w:vertAlign w:val="superscript"/>
        </w:rPr>
        <w:footnoteReference w:id="1"/>
      </w:r>
      <w:r w:rsidRPr="003E7E0C">
        <w:t>.</w:t>
      </w:r>
    </w:p>
    <w:p w:rsidR="003E7E0C" w:rsidRPr="003E7E0C" w:rsidRDefault="003E7E0C" w:rsidP="003E7E0C">
      <w:pPr>
        <w:ind w:firstLine="709"/>
      </w:pPr>
      <w:r w:rsidRPr="003E7E0C">
        <w:t xml:space="preserve">Многие определения устойчивого развития регионального развития в специальной литературе посвящены экологическому аспекту устойчивости. Согласно А.В. Андрееву «постоянный город или </w:t>
      </w:r>
      <w:proofErr w:type="spellStart"/>
      <w:r w:rsidRPr="003E7E0C">
        <w:t>экогород</w:t>
      </w:r>
      <w:proofErr w:type="spellEnd"/>
      <w:r w:rsidRPr="003E7E0C">
        <w:t xml:space="preserve"> –  это город, который планировался с учетом воздействия на окружающую среду, стремящегося к минимизации потребления энергии, воды, продуктов питания и уменьшению выработки отходов, выбросов загрязняющих веществ в атмосферу и воду»</w:t>
      </w:r>
      <w:r w:rsidRPr="003E7E0C">
        <w:rPr>
          <w:vertAlign w:val="superscript"/>
        </w:rPr>
        <w:footnoteReference w:id="2"/>
      </w:r>
      <w:r w:rsidRPr="003E7E0C">
        <w:t xml:space="preserve">. </w:t>
      </w:r>
    </w:p>
    <w:p w:rsidR="003E7E0C" w:rsidRPr="003E7E0C" w:rsidRDefault="003E7E0C" w:rsidP="003E7E0C">
      <w:pPr>
        <w:ind w:firstLine="709"/>
      </w:pPr>
      <w:r w:rsidRPr="003E7E0C">
        <w:t xml:space="preserve">Дискуссия </w:t>
      </w:r>
      <w:proofErr w:type="gramStart"/>
      <w:r w:rsidRPr="003E7E0C">
        <w:t>российских</w:t>
      </w:r>
      <w:proofErr w:type="gramEnd"/>
      <w:r w:rsidRPr="003E7E0C">
        <w:t xml:space="preserve"> ученных по вопросам устойчивого развития сосредоточены преимущественно на региональном уровне. </w:t>
      </w:r>
    </w:p>
    <w:p w:rsidR="003E7E0C" w:rsidRPr="003E7E0C" w:rsidRDefault="003E7E0C" w:rsidP="003E7E0C">
      <w:pPr>
        <w:ind w:firstLine="709"/>
      </w:pPr>
      <w:r w:rsidRPr="003E7E0C">
        <w:t xml:space="preserve">Методологические подходы к определению устойчивого развития региона и регионального развития, предложенные А. Г. </w:t>
      </w:r>
      <w:proofErr w:type="spellStart"/>
      <w:r w:rsidRPr="003E7E0C">
        <w:t>Гранбергом</w:t>
      </w:r>
      <w:proofErr w:type="spellEnd"/>
      <w:r w:rsidRPr="003E7E0C">
        <w:t>, заключаются в необходимости системного подхода: «концепция устойчивого развития региона предназначена для отражения тенденций экономической интеграции и территориальному делению общества</w:t>
      </w:r>
      <w:r w:rsidRPr="003E7E0C">
        <w:rPr>
          <w:vertAlign w:val="superscript"/>
        </w:rPr>
        <w:footnoteReference w:id="3"/>
      </w:r>
      <w:r w:rsidRPr="003E7E0C">
        <w:t xml:space="preserve">. </w:t>
      </w:r>
    </w:p>
    <w:p w:rsidR="003E7E0C" w:rsidRPr="003E7E0C" w:rsidRDefault="003E7E0C" w:rsidP="003E7E0C">
      <w:pPr>
        <w:ind w:firstLine="709"/>
      </w:pPr>
      <w:r w:rsidRPr="003E7E0C">
        <w:t xml:space="preserve">На основе предложенного определения А. Г. </w:t>
      </w:r>
      <w:proofErr w:type="spellStart"/>
      <w:r w:rsidRPr="003E7E0C">
        <w:t>Гранбером</w:t>
      </w:r>
      <w:proofErr w:type="spellEnd"/>
      <w:r w:rsidRPr="003E7E0C">
        <w:t xml:space="preserve"> ряд российских авторов определяют устойчивое развитие муниципальных структур. </w:t>
      </w:r>
    </w:p>
    <w:p w:rsidR="003E7E0C" w:rsidRPr="003E7E0C" w:rsidRDefault="003E7E0C" w:rsidP="003E7E0C">
      <w:pPr>
        <w:ind w:firstLine="709"/>
      </w:pPr>
      <w:r w:rsidRPr="003E7E0C">
        <w:lastRenderedPageBreak/>
        <w:t>Например, А.Л. Гапоненко предлагает понимание устойчивого развития региона  как устойчивого социально</w:t>
      </w:r>
      <w:r w:rsidRPr="003E7E0C">
        <w:rPr>
          <w:b/>
        </w:rPr>
        <w:t>-</w:t>
      </w:r>
      <w:r w:rsidRPr="003E7E0C">
        <w:t>экономического сбалансированного развития, не нарушающего природную среду и обеспечивающего непрерывное развитие общества</w:t>
      </w:r>
      <w:r w:rsidRPr="003E7E0C">
        <w:rPr>
          <w:vertAlign w:val="superscript"/>
        </w:rPr>
        <w:footnoteReference w:id="4"/>
      </w:r>
      <w:r w:rsidRPr="003E7E0C">
        <w:t xml:space="preserve">. </w:t>
      </w:r>
    </w:p>
    <w:p w:rsidR="003E7E0C" w:rsidRPr="003E7E0C" w:rsidRDefault="003E7E0C" w:rsidP="003E7E0C">
      <w:pPr>
        <w:ind w:firstLine="709"/>
      </w:pPr>
      <w:r w:rsidRPr="003E7E0C">
        <w:t>А.Г. Полякова определяет устойчивое развитие региона  как сбалансированное развитие его структурных элементов, обеспечение баланса интересов субъектов в целях обеспечения качества жизни населения в рамках действующей национальной системы разделения труда</w:t>
      </w:r>
      <w:r w:rsidRPr="003E7E0C">
        <w:rPr>
          <w:vertAlign w:val="superscript"/>
        </w:rPr>
        <w:footnoteReference w:id="5"/>
      </w:r>
      <w:r w:rsidRPr="003E7E0C">
        <w:t xml:space="preserve">. </w:t>
      </w:r>
    </w:p>
    <w:p w:rsidR="003E7E0C" w:rsidRPr="003E7E0C" w:rsidRDefault="003E7E0C" w:rsidP="003E7E0C">
      <w:pPr>
        <w:ind w:firstLine="709"/>
      </w:pPr>
      <w:r w:rsidRPr="003E7E0C">
        <w:t xml:space="preserve">Согласно Конституции Российской Федерации, Россия является социальным государством, политика которого направлена на создание условий для обеспечения достойной жизни и свободного развития человека. Российская Федерация защищает труд и здоровье человека, устанавливает минимальный гарантированный </w:t>
      </w:r>
      <w:proofErr w:type="gramStart"/>
      <w:r w:rsidRPr="003E7E0C">
        <w:t>размер оплаты труда</w:t>
      </w:r>
      <w:proofErr w:type="gramEnd"/>
      <w:r w:rsidRPr="003E7E0C">
        <w:t>, оказывает государственную поддержку семьям, матерям, отцам и детям, инвалидам и престарелым, развивает систему социального обслуживания, устанавливает государственные пенсии, пособия и другие гарантии социальной защиты</w:t>
      </w:r>
      <w:r w:rsidRPr="003E7E0C">
        <w:rPr>
          <w:vertAlign w:val="superscript"/>
        </w:rPr>
        <w:footnoteReference w:id="6"/>
      </w:r>
      <w:r w:rsidRPr="003E7E0C">
        <w:t xml:space="preserve">. </w:t>
      </w:r>
    </w:p>
    <w:p w:rsidR="003E7E0C" w:rsidRPr="003E7E0C" w:rsidRDefault="003E7E0C" w:rsidP="003E7E0C">
      <w:pPr>
        <w:ind w:firstLine="709"/>
      </w:pPr>
      <w:r w:rsidRPr="003E7E0C">
        <w:t xml:space="preserve">Согласно А. В. </w:t>
      </w:r>
      <w:proofErr w:type="spellStart"/>
      <w:r w:rsidRPr="003E7E0C">
        <w:t>Маслековой</w:t>
      </w:r>
      <w:proofErr w:type="spellEnd"/>
      <w:r w:rsidRPr="003E7E0C">
        <w:t>, «без учета социальных проблем невозможно предусмотреть устойчивое развитие, так как социальная напряженность разрушает не только экономику, но и весь «организм» общества. Поэтому социально</w:t>
      </w:r>
      <w:r w:rsidRPr="003E7E0C">
        <w:rPr>
          <w:b/>
        </w:rPr>
        <w:t>-</w:t>
      </w:r>
      <w:r w:rsidRPr="003E7E0C">
        <w:t>экономическую сферу следует рассматривать как сложную социально</w:t>
      </w:r>
      <w:r w:rsidRPr="003E7E0C">
        <w:rPr>
          <w:b/>
        </w:rPr>
        <w:t>-</w:t>
      </w:r>
      <w:r w:rsidRPr="003E7E0C">
        <w:t xml:space="preserve">экономическую систему». </w:t>
      </w:r>
    </w:p>
    <w:p w:rsidR="003E7E0C" w:rsidRPr="003E7E0C" w:rsidRDefault="003E7E0C" w:rsidP="003E7E0C">
      <w:pPr>
        <w:ind w:firstLine="709"/>
      </w:pPr>
      <w:r w:rsidRPr="003E7E0C">
        <w:t>Говоря о вопросах устойчивого развития регионального развития, необходимо учитывать следующие особенности:</w:t>
      </w:r>
    </w:p>
    <w:p w:rsidR="003E7E0C" w:rsidRPr="003E7E0C" w:rsidRDefault="003E7E0C" w:rsidP="003E7E0C">
      <w:pPr>
        <w:ind w:firstLine="709"/>
      </w:pPr>
      <w:r w:rsidRPr="003E7E0C">
        <w:t xml:space="preserve">1. Общие положения Муниципалитет преследует социальные цели, поэтому их эффективность не может быть максимумом доходов бюджета или максимумом прибыли. </w:t>
      </w:r>
    </w:p>
    <w:p w:rsidR="003E7E0C" w:rsidRPr="003E7E0C" w:rsidRDefault="003E7E0C" w:rsidP="003E7E0C">
      <w:pPr>
        <w:ind w:firstLine="709"/>
      </w:pPr>
      <w:r w:rsidRPr="003E7E0C">
        <w:lastRenderedPageBreak/>
        <w:t xml:space="preserve">2. Население, находящееся в муниципальном управлении, действует одновременно как объект, объект и субъект управления. </w:t>
      </w:r>
    </w:p>
    <w:p w:rsidR="003E7E0C" w:rsidRPr="003E7E0C" w:rsidRDefault="003E7E0C" w:rsidP="003E7E0C">
      <w:pPr>
        <w:ind w:firstLine="709"/>
      </w:pPr>
      <w:r w:rsidRPr="003E7E0C">
        <w:t xml:space="preserve">3. Население является основным местным ресурсом. Желание, потребности, энергия, воля, умственная отсталость и труд </w:t>
      </w:r>
      <w:proofErr w:type="gramStart"/>
      <w:r w:rsidRPr="003E7E0C">
        <w:t>людей–главная</w:t>
      </w:r>
      <w:proofErr w:type="gramEnd"/>
      <w:r w:rsidRPr="003E7E0C">
        <w:t xml:space="preserve"> опора местного самоуправления.</w:t>
      </w:r>
    </w:p>
    <w:p w:rsidR="003E7E0C" w:rsidRPr="003E7E0C" w:rsidRDefault="003E7E0C" w:rsidP="003E7E0C">
      <w:pPr>
        <w:ind w:firstLine="709"/>
      </w:pPr>
      <w:r w:rsidRPr="003E7E0C">
        <w:t xml:space="preserve"> 4. Муниципальное управление основывается на ценностях, ресурсах, проблемах и возможностях, связанных с местом проживания человека. </w:t>
      </w:r>
    </w:p>
    <w:p w:rsidR="003E7E0C" w:rsidRPr="003E7E0C" w:rsidRDefault="003E7E0C" w:rsidP="003E7E0C">
      <w:pPr>
        <w:ind w:firstLine="709"/>
      </w:pPr>
      <w:r w:rsidRPr="003E7E0C">
        <w:t xml:space="preserve">5. Совокупность одновременно решаемых задач, каждый из которых носит местный, индивидуальный характер. </w:t>
      </w:r>
      <w:r w:rsidRPr="003E7E0C">
        <w:rPr>
          <w:vertAlign w:val="superscript"/>
        </w:rPr>
        <w:footnoteReference w:id="7"/>
      </w:r>
    </w:p>
    <w:p w:rsidR="003E7E0C" w:rsidRPr="003E7E0C" w:rsidRDefault="003E7E0C" w:rsidP="003E7E0C">
      <w:pPr>
        <w:ind w:firstLine="709"/>
      </w:pPr>
      <w:r w:rsidRPr="003E7E0C">
        <w:t>Таким образом, с учетом указанных выше подходов к определению устойчивого развития региона</w:t>
      </w:r>
      <w:proofErr w:type="gramStart"/>
      <w:r w:rsidRPr="003E7E0C">
        <w:t xml:space="preserve"> ,</w:t>
      </w:r>
      <w:proofErr w:type="gramEnd"/>
      <w:r w:rsidRPr="003E7E0C">
        <w:t xml:space="preserve"> а также характеристики муниципальных социально-экономических систем, в работе предлагается следующая трактовка устойчивого развития региона : "устойчивое развитие региона  –  возможность муниципальной социально-экономической системы переходить из одного неравновесного положения в другое в процессе качественных изменений, обеспечения устойчивого, сбалансированного развития социально–экономического и экологического потенциала региона , обеспечению качества жизни и повышения уровня населения»</w:t>
      </w:r>
      <w:r w:rsidRPr="003E7E0C">
        <w:rPr>
          <w:vertAlign w:val="superscript"/>
        </w:rPr>
        <w:footnoteReference w:id="8"/>
      </w:r>
      <w:r w:rsidRPr="003E7E0C">
        <w:t xml:space="preserve">. </w:t>
      </w:r>
    </w:p>
    <w:p w:rsidR="003E7E0C" w:rsidRPr="003E7E0C" w:rsidRDefault="003E7E0C" w:rsidP="003E7E0C">
      <w:pPr>
        <w:ind w:firstLine="709"/>
      </w:pPr>
      <w:r w:rsidRPr="003E7E0C">
        <w:t xml:space="preserve">Согласно А.В. Одинцовой, управление развитием муниципальных структур имеет три основных вида: целевое управление эффектом, организационный порядок и самоорганизация. Эффективность целевого управления будет достигнута путем определения цели и разработки технологии их реализации. </w:t>
      </w:r>
    </w:p>
    <w:p w:rsidR="003E7E0C" w:rsidRPr="003E7E0C" w:rsidRDefault="003E7E0C" w:rsidP="003E7E0C">
      <w:pPr>
        <w:ind w:firstLine="709"/>
      </w:pPr>
      <w:r w:rsidRPr="003E7E0C">
        <w:t xml:space="preserve">Существует два вида целевого управленческого </w:t>
      </w:r>
      <w:proofErr w:type="gramStart"/>
      <w:r w:rsidRPr="003E7E0C">
        <w:t>воздействия-внешний</w:t>
      </w:r>
      <w:proofErr w:type="gramEnd"/>
      <w:r w:rsidRPr="003E7E0C">
        <w:t xml:space="preserve"> (не объектный орган управления) и внутренний (самоуправление). Подсистема управления в зависимости от категории управления не может полностью </w:t>
      </w:r>
      <w:r w:rsidRPr="003E7E0C">
        <w:lastRenderedPageBreak/>
        <w:t>управлять управляемой подсистемой, которая приводит к некоторой автономии в его поведении.</w:t>
      </w:r>
    </w:p>
    <w:p w:rsidR="003E7E0C" w:rsidRPr="003E7E0C" w:rsidRDefault="003E7E0C" w:rsidP="003E7E0C">
      <w:pPr>
        <w:ind w:firstLine="709"/>
      </w:pPr>
      <w:r w:rsidRPr="003E7E0C">
        <w:t xml:space="preserve">Самоорганизация является одним из важных факторов регионального  управления, которые выражаются в виде экономических и социальных регуляторов как проявления эффекта целевого управления. Группа </w:t>
      </w:r>
      <w:proofErr w:type="gramStart"/>
      <w:r w:rsidRPr="003E7E0C">
        <w:t>социальных</w:t>
      </w:r>
      <w:proofErr w:type="gramEnd"/>
      <w:r w:rsidRPr="003E7E0C">
        <w:t xml:space="preserve"> регуляторов-это некоторые элементы социального, группового сознания, влияющие на массовое поведение (идеология, традиции, обычаи); они действуют через механизм общественного мнения.</w:t>
      </w:r>
    </w:p>
    <w:p w:rsidR="003E7E0C" w:rsidRPr="003E7E0C" w:rsidRDefault="003E7E0C" w:rsidP="003E7E0C">
      <w:pPr>
        <w:ind w:firstLine="709"/>
      </w:pPr>
      <w:r w:rsidRPr="003E7E0C">
        <w:t>Таким образом, механизм управления муниципальным образованием является тройным, который включает в себя: целевой управленческий эффект (внешнее управление и самоуправление), самоорганизацию, а также организационные процессы. Из этих функций возникает задача организации их взаимодействия в единстве и взаимосвязи, что означает интеграцию управления.</w:t>
      </w:r>
    </w:p>
    <w:p w:rsidR="003E7E0C" w:rsidRPr="003E7E0C" w:rsidRDefault="003E7E0C" w:rsidP="003E7E0C">
      <w:pPr>
        <w:ind w:firstLine="709"/>
      </w:pPr>
      <w:r w:rsidRPr="003E7E0C">
        <w:t xml:space="preserve">При разработке стратегии развития региона, главные проблемы не возникает: как достичь необходимых результатов с учетом состояния региона  и его перспективы. </w:t>
      </w:r>
    </w:p>
    <w:p w:rsidR="003E7E0C" w:rsidRPr="003E7E0C" w:rsidRDefault="003E7E0C" w:rsidP="003E7E0C">
      <w:pPr>
        <w:ind w:firstLine="709"/>
      </w:pPr>
      <w:r w:rsidRPr="003E7E0C">
        <w:t>Реализация стратегии представляет собой практическую административную работу, направленную на действия, включающие организацию регионального  управления образованием, финансовое планирование, реализацию соответствующей политики, стимулирование, создание условий и механизмов.</w:t>
      </w:r>
    </w:p>
    <w:p w:rsidR="003E7E0C" w:rsidRPr="003E7E0C" w:rsidRDefault="003E7E0C" w:rsidP="003E7E0C">
      <w:pPr>
        <w:ind w:firstLine="709"/>
      </w:pPr>
      <w:r w:rsidRPr="003E7E0C">
        <w:t xml:space="preserve">А.В. </w:t>
      </w:r>
      <w:proofErr w:type="spellStart"/>
      <w:r w:rsidRPr="003E7E0C">
        <w:t>Масликов</w:t>
      </w:r>
      <w:proofErr w:type="spellEnd"/>
      <w:r w:rsidRPr="003E7E0C">
        <w:t xml:space="preserve"> предполагает, что мониторинг или оценка деятельности, изучение изменений в окружающей среде и осуществление корректирующих действий является важнейшим элементом процесса стратегического управления</w:t>
      </w:r>
      <w:r w:rsidRPr="003E7E0C">
        <w:rPr>
          <w:vertAlign w:val="superscript"/>
        </w:rPr>
        <w:footnoteReference w:id="9"/>
      </w:r>
      <w:r w:rsidRPr="003E7E0C">
        <w:t>.</w:t>
      </w:r>
    </w:p>
    <w:p w:rsidR="003E7E0C" w:rsidRPr="003E7E0C" w:rsidRDefault="003E7E0C" w:rsidP="003E7E0C">
      <w:pPr>
        <w:ind w:firstLine="709"/>
      </w:pPr>
      <w:r w:rsidRPr="003E7E0C">
        <w:lastRenderedPageBreak/>
        <w:t>Таким образом,  субъект Российской Федерации  позиционируется одновременно в трех качествах –  как поселение или сообщество людей, как инструмент решения государственных задач, как структурный и взаимосвязанный комплекс подсистем, как место и форма создания ресурсов для развития человека. Тройная важность регионального развития определила три основные компонента в управлении его развитием: эффект целевого управления, порядок организации и самоорганизации. Наиболее эффективное сочетание возможно только в рамках стратегического управления. Принципиальным отличием стратегического подхода от широко распространенного в практике местного самоуправления функционального подхода является не «оперативное управление», а «управление развитием».</w:t>
      </w:r>
    </w:p>
    <w:p w:rsidR="00A43A3D" w:rsidRDefault="00A43A3D" w:rsidP="00A43A3D">
      <w:pPr>
        <w:ind w:firstLine="709"/>
      </w:pPr>
      <w:r>
        <w:t>Программа является инструментом, позволяющим связать с плановыми расходами результаты ее реализации, что определяет основную ценность программы, являющейся одним из инструментов территориального управления. Государственные программы внедряются в практику государственного и муниципального управления с 2012 года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апример, государственная программа позволяет комплексно оценить деятельность департаментов и определить роль и стратегическую миссию территориального развития, связь стратегии территории, бюджета и программ департамента. При этом в программной форме доля бюджетных расходов достигала бы 100 %.</w:t>
      </w:r>
    </w:p>
    <w:p w:rsidR="00A43A3D" w:rsidRDefault="00A43A3D" w:rsidP="00A43A3D">
      <w:pPr>
        <w:ind w:firstLine="709"/>
      </w:pPr>
      <w:r>
        <w:t xml:space="preserve">При этом затраты на форму расходования как таковые не предполагают применения принципов эффективного использования бюджетных средств, так и не означают достижения целей текущей социально-экономической политики. Кроме того, необходима ежегодная корректировка и уточнение объемов финансирования, целевых показателей и сроков реализации госпрограммы. Изменения в госпрограмме, внесенные в конце года, должны быть обоснованы и реализованы на основе оценки эффективности реализации госпрограммы. Только такой подход позволит органам государственной власти использовать </w:t>
      </w:r>
      <w:r>
        <w:lastRenderedPageBreak/>
        <w:t>имеющийся потенциал программно-целевых методов бюджетного планирования государства</w:t>
      </w:r>
      <w:r w:rsidR="003E7E0C">
        <w:rPr>
          <w:rStyle w:val="ad"/>
        </w:rPr>
        <w:footnoteReference w:id="10"/>
      </w:r>
      <w:r>
        <w:t>.</w:t>
      </w:r>
    </w:p>
    <w:p w:rsidR="0095792F" w:rsidRDefault="0095792F" w:rsidP="0095792F">
      <w:pPr>
        <w:ind w:firstLine="709"/>
      </w:pPr>
      <w:r>
        <w:t>Одним из инструментов, широко используемых в системе государственного управления, является разработка и реализация федеральных и региональных целевых программ.</w:t>
      </w:r>
    </w:p>
    <w:p w:rsidR="0095792F" w:rsidRDefault="0095792F" w:rsidP="0095792F">
      <w:pPr>
        <w:ind w:firstLine="709"/>
      </w:pPr>
      <w:r>
        <w:t>Целевые программы являются одним из важнейших средств реализации государственной структурной политики и активного воздействия на производственно-экономические процессы.</w:t>
      </w:r>
    </w:p>
    <w:p w:rsidR="0095792F" w:rsidRDefault="0095792F" w:rsidP="0095792F">
      <w:pPr>
        <w:ind w:firstLine="709"/>
      </w:pPr>
      <w:r>
        <w:t>Целевые программы государства - это комплекс научно-исследовательских, опытно-конструкторских, производственных, социально-экономических, организационно-экономических и иных мероприятий, которые связаны между собой ресурсами, исполнителями и условиями их применения и обеспечивают эффективное решение задач в области государственного, экономического, экологического, социального и культурного развития государства.</w:t>
      </w:r>
    </w:p>
    <w:p w:rsidR="0095792F" w:rsidRDefault="0095792F" w:rsidP="0095792F">
      <w:pPr>
        <w:ind w:firstLine="709"/>
      </w:pPr>
      <w:r>
        <w:t>Целевые программы - один из основных способов реализации решения правительства.</w:t>
      </w:r>
    </w:p>
    <w:p w:rsidR="0095792F" w:rsidRDefault="0095792F" w:rsidP="0095792F">
      <w:pPr>
        <w:ind w:firstLine="709"/>
      </w:pPr>
      <w:r>
        <w:t>В то же время они являются эффективным инструментом структурных преобразований в экономике, решения актуальных социальных проблем и призваны обеспечить необходимую концентрацию экономических и финансовых ресурсов на приоритетных направлениях государственной политики.</w:t>
      </w:r>
    </w:p>
    <w:p w:rsidR="0095792F" w:rsidRPr="00AA1948" w:rsidRDefault="0095792F" w:rsidP="0095792F">
      <w:pPr>
        <w:pStyle w:val="a8"/>
        <w:suppressAutoHyphens w:val="0"/>
        <w:ind w:firstLine="709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373880" cy="14173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92F" w:rsidRPr="00AA1948" w:rsidRDefault="0095792F" w:rsidP="0095792F">
      <w:pPr>
        <w:pStyle w:val="a8"/>
        <w:suppressAutoHyphens w:val="0"/>
        <w:ind w:firstLine="709"/>
        <w:rPr>
          <w:color w:val="000000"/>
        </w:rPr>
      </w:pPr>
      <w:r w:rsidRPr="00AA1948">
        <w:rPr>
          <w:color w:val="000000"/>
        </w:rPr>
        <w:t xml:space="preserve">Рисунок 1 </w:t>
      </w:r>
      <w:r>
        <w:rPr>
          <w:color w:val="000000"/>
        </w:rPr>
        <w:t>–</w:t>
      </w:r>
      <w:r w:rsidRPr="00AA1948">
        <w:rPr>
          <w:color w:val="000000"/>
        </w:rPr>
        <w:t xml:space="preserve"> Классификация целевой программы по направленности и источнику финансирования</w:t>
      </w:r>
    </w:p>
    <w:p w:rsidR="0095792F" w:rsidRDefault="0095792F" w:rsidP="0095792F">
      <w:pPr>
        <w:ind w:firstLine="709"/>
        <w:rPr>
          <w:color w:val="000000"/>
          <w:szCs w:val="28"/>
        </w:rPr>
      </w:pPr>
    </w:p>
    <w:p w:rsidR="0095792F" w:rsidRPr="00AA1948" w:rsidRDefault="0095792F" w:rsidP="0095792F">
      <w:pPr>
        <w:ind w:firstLine="709"/>
        <w:rPr>
          <w:color w:val="000000"/>
          <w:szCs w:val="28"/>
        </w:rPr>
      </w:pPr>
      <w:r>
        <w:rPr>
          <w:noProof/>
          <w:color w:val="000000"/>
          <w:szCs w:val="28"/>
          <w:lang w:eastAsia="ru-RU"/>
        </w:rPr>
        <w:drawing>
          <wp:inline distT="0" distB="0" distL="0" distR="0">
            <wp:extent cx="4792980" cy="693420"/>
            <wp:effectExtent l="0" t="0" r="762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92F" w:rsidRPr="00AA1948" w:rsidRDefault="0095792F" w:rsidP="0095792F">
      <w:pPr>
        <w:ind w:firstLine="709"/>
        <w:rPr>
          <w:color w:val="000000"/>
          <w:szCs w:val="28"/>
        </w:rPr>
      </w:pPr>
      <w:r w:rsidRPr="00AA1948">
        <w:rPr>
          <w:color w:val="000000"/>
          <w:szCs w:val="28"/>
        </w:rPr>
        <w:t xml:space="preserve">Рисунок 2 </w:t>
      </w:r>
      <w:r>
        <w:rPr>
          <w:color w:val="000000"/>
          <w:szCs w:val="28"/>
        </w:rPr>
        <w:t>–</w:t>
      </w:r>
      <w:r w:rsidRPr="00AA1948">
        <w:rPr>
          <w:color w:val="000000"/>
          <w:szCs w:val="28"/>
        </w:rPr>
        <w:t xml:space="preserve"> Классификация целевой программы по уровню проблем</w:t>
      </w:r>
    </w:p>
    <w:p w:rsidR="0095792F" w:rsidRPr="00AA1948" w:rsidRDefault="0095792F" w:rsidP="0095792F">
      <w:pPr>
        <w:ind w:firstLine="709"/>
        <w:rPr>
          <w:color w:val="000000"/>
          <w:szCs w:val="28"/>
        </w:rPr>
      </w:pPr>
    </w:p>
    <w:p w:rsidR="0095792F" w:rsidRPr="00AA1948" w:rsidRDefault="0095792F" w:rsidP="0095792F">
      <w:pPr>
        <w:ind w:firstLine="709"/>
        <w:rPr>
          <w:color w:val="000000"/>
          <w:szCs w:val="28"/>
        </w:rPr>
      </w:pPr>
      <w:r>
        <w:rPr>
          <w:noProof/>
          <w:color w:val="000000"/>
          <w:szCs w:val="28"/>
          <w:lang w:eastAsia="ru-RU"/>
        </w:rPr>
        <w:drawing>
          <wp:inline distT="0" distB="0" distL="0" distR="0">
            <wp:extent cx="4754880" cy="17907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163" b="-17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92F" w:rsidRPr="00AA1948" w:rsidRDefault="0095792F" w:rsidP="0095792F">
      <w:pPr>
        <w:ind w:firstLine="709"/>
        <w:rPr>
          <w:color w:val="000000"/>
          <w:szCs w:val="28"/>
        </w:rPr>
      </w:pPr>
      <w:r w:rsidRPr="00AA1948">
        <w:rPr>
          <w:color w:val="000000"/>
          <w:szCs w:val="28"/>
        </w:rPr>
        <w:t xml:space="preserve">Рисунок 3 </w:t>
      </w:r>
      <w:r>
        <w:rPr>
          <w:color w:val="000000"/>
          <w:szCs w:val="28"/>
        </w:rPr>
        <w:t>–</w:t>
      </w:r>
      <w:r w:rsidRPr="00AA1948">
        <w:rPr>
          <w:color w:val="000000"/>
          <w:szCs w:val="28"/>
        </w:rPr>
        <w:t xml:space="preserve"> Классификация целевой программы по характеру проблем</w:t>
      </w:r>
    </w:p>
    <w:p w:rsidR="0095792F" w:rsidRPr="00AA1948" w:rsidRDefault="0095792F" w:rsidP="0095792F">
      <w:pPr>
        <w:ind w:firstLine="709"/>
        <w:rPr>
          <w:color w:val="000000"/>
          <w:szCs w:val="28"/>
        </w:rPr>
      </w:pPr>
    </w:p>
    <w:p w:rsidR="0095792F" w:rsidRPr="00AA1948" w:rsidRDefault="0095792F" w:rsidP="0095792F">
      <w:pPr>
        <w:ind w:firstLine="709"/>
        <w:rPr>
          <w:color w:val="000000"/>
          <w:szCs w:val="28"/>
        </w:rPr>
      </w:pPr>
      <w:r>
        <w:rPr>
          <w:noProof/>
          <w:color w:val="000000"/>
          <w:szCs w:val="28"/>
          <w:lang w:eastAsia="ru-RU"/>
        </w:rPr>
        <w:drawing>
          <wp:inline distT="0" distB="0" distL="0" distR="0">
            <wp:extent cx="4792980" cy="1005840"/>
            <wp:effectExtent l="0" t="0" r="0" b="4191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95792F" w:rsidRPr="00AA1948" w:rsidRDefault="0095792F" w:rsidP="0095792F">
      <w:pPr>
        <w:ind w:firstLine="709"/>
        <w:rPr>
          <w:color w:val="000000"/>
          <w:szCs w:val="28"/>
        </w:rPr>
      </w:pPr>
      <w:r w:rsidRPr="00AA1948">
        <w:rPr>
          <w:color w:val="000000"/>
          <w:szCs w:val="28"/>
        </w:rPr>
        <w:t xml:space="preserve">Рисунок 4 </w:t>
      </w:r>
      <w:r>
        <w:rPr>
          <w:color w:val="000000"/>
          <w:szCs w:val="28"/>
        </w:rPr>
        <w:t>–</w:t>
      </w:r>
      <w:r w:rsidRPr="00AA1948">
        <w:rPr>
          <w:color w:val="000000"/>
          <w:szCs w:val="28"/>
        </w:rPr>
        <w:t xml:space="preserve"> Классификация целевой программы по срокам реализации</w:t>
      </w:r>
    </w:p>
    <w:p w:rsidR="0095792F" w:rsidRDefault="0095792F" w:rsidP="0095792F">
      <w:pPr>
        <w:ind w:firstLine="709"/>
      </w:pPr>
    </w:p>
    <w:p w:rsidR="008B1526" w:rsidRDefault="008B1526" w:rsidP="008B1526">
      <w:pPr>
        <w:ind w:firstLine="709"/>
      </w:pPr>
      <w:r>
        <w:t xml:space="preserve">В последнее время все активнее разрабатываются не только федеральные, но и региональные программы. Сейчас в России идет процесс децентрализации, когда многие вопросы передаются регионам и местным органам власти. Поэтому федеральные программы должны быть увязаны </w:t>
      </w:r>
      <w:proofErr w:type="gramStart"/>
      <w:r>
        <w:t>с</w:t>
      </w:r>
      <w:proofErr w:type="gramEnd"/>
      <w:r>
        <w:t xml:space="preserve"> региональными.</w:t>
      </w:r>
    </w:p>
    <w:p w:rsidR="008B1526" w:rsidRDefault="008B1526" w:rsidP="008B1526">
      <w:pPr>
        <w:ind w:firstLine="709"/>
      </w:pPr>
      <w:r>
        <w:t>Количество международных программ растет. Сейчас есть благоприятные возможности для развития международных связей и участия в совместных программах и проектах с зарубежными экспертами из Всемирного банка, Европейского Союза и др.</w:t>
      </w:r>
      <w:proofErr w:type="gramStart"/>
      <w:r>
        <w:t xml:space="preserve"> ,</w:t>
      </w:r>
      <w:proofErr w:type="gramEnd"/>
      <w:r>
        <w:t xml:space="preserve"> что позволяет использовать опыт окружающего мира.</w:t>
      </w:r>
    </w:p>
    <w:p w:rsidR="008B1526" w:rsidRDefault="008B1526" w:rsidP="008B1526">
      <w:pPr>
        <w:ind w:firstLine="709"/>
      </w:pPr>
      <w:r>
        <w:lastRenderedPageBreak/>
        <w:t>Однако необходимо учитывать готовность организации к участию в разработке и реализации данной программы, в том числе наличие подготовленного персонала, соответствующей управленческой инфраструктуры, знание национальных особенностей управления, законодательства и т.д.</w:t>
      </w:r>
    </w:p>
    <w:p w:rsidR="008B1526" w:rsidRDefault="008B1526" w:rsidP="008B1526">
      <w:pPr>
        <w:ind w:firstLine="709"/>
      </w:pPr>
      <w:r>
        <w:t>Разработка и реализация целевых программ, поддерживается нормативно-правовой базой.</w:t>
      </w:r>
    </w:p>
    <w:p w:rsidR="003E7E0C" w:rsidRDefault="003E7E0C" w:rsidP="008B1526">
      <w:pPr>
        <w:ind w:firstLine="709"/>
      </w:pPr>
    </w:p>
    <w:p w:rsidR="003E7E0C" w:rsidRDefault="003E7E0C" w:rsidP="003E7E0C">
      <w:pPr>
        <w:pStyle w:val="1"/>
      </w:pPr>
      <w:bookmarkStart w:id="3" w:name="_Toc31379399"/>
      <w:r>
        <w:t xml:space="preserve">1.2 </w:t>
      </w:r>
      <w:r w:rsidRPr="00AA1948">
        <w:t>Методики оценки государственных целевых программ</w:t>
      </w:r>
      <w:bookmarkEnd w:id="3"/>
    </w:p>
    <w:p w:rsidR="003E7E0C" w:rsidRDefault="003E7E0C" w:rsidP="003E7E0C"/>
    <w:p w:rsidR="00513C24" w:rsidRDefault="00513C24" w:rsidP="00513C24">
      <w:pPr>
        <w:ind w:firstLine="709"/>
      </w:pPr>
      <w:r>
        <w:t xml:space="preserve">На региональном уровне порядок принятия управленческих решений по государственным программам устанавливается высшим исполнительным органом государственной власти субъектов Российской Федерации. </w:t>
      </w:r>
      <w:proofErr w:type="gramStart"/>
      <w:r>
        <w:t>Министерство финансов Российской Федерации предлагает субъекту опираться на типовой документ с методическими указаниями по разработке, реализации и оценке эффективности государственной программы Российской Федерации, утвержденными в частности критериями эффективности реализации государственной программы (степень успешности реализации целей программы); степень соответствия кассовых расходов бюджета на реализацию государственной программы и фактических расходов; степень реализации основных видов деятельности).</w:t>
      </w:r>
      <w:proofErr w:type="gramEnd"/>
      <w:r>
        <w:t xml:space="preserve"> С одной стороны, результаты проведенного авторами анализа региональной практики свидетельствуют о высокой степени самостоятельности региональных органов власти в решении </w:t>
      </w:r>
      <w:proofErr w:type="gramStart"/>
      <w:r>
        <w:t>задач разработки инструментария методической оценки государственной программы Российской Федерации</w:t>
      </w:r>
      <w:proofErr w:type="gramEnd"/>
      <w:r>
        <w:t xml:space="preserve"> и расширения круга критериев эффективности реализации программ.</w:t>
      </w:r>
    </w:p>
    <w:p w:rsidR="003E7E0C" w:rsidRDefault="00513C24" w:rsidP="00513C24">
      <w:pPr>
        <w:ind w:firstLine="709"/>
      </w:pPr>
      <w:r>
        <w:t>На основе изучения нормативно-правовых актов субъектов Российской Федерации подход к разработке методики оценки эффективности государственных программ можно сгруппировать по двум ключевым направлениям (табл.1).</w:t>
      </w:r>
    </w:p>
    <w:p w:rsidR="00513C24" w:rsidRDefault="00513C24" w:rsidP="00513C24">
      <w:pPr>
        <w:ind w:firstLine="709"/>
      </w:pPr>
      <w:r>
        <w:lastRenderedPageBreak/>
        <w:t xml:space="preserve">Таблица 1 – Группировка региональных </w:t>
      </w:r>
      <w:proofErr w:type="gramStart"/>
      <w:r>
        <w:t>методи</w:t>
      </w:r>
      <w:r w:rsidRPr="00513C24">
        <w:t>ческих подходов</w:t>
      </w:r>
      <w:proofErr w:type="gramEnd"/>
      <w:r w:rsidRPr="00513C24">
        <w:t xml:space="preserve"> к оценке эффективности государственных программ</w:t>
      </w:r>
      <w:r>
        <w:rPr>
          <w:rStyle w:val="ad"/>
        </w:rPr>
        <w:footnoteReference w:id="11"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13C24" w:rsidTr="00923279">
        <w:tc>
          <w:tcPr>
            <w:tcW w:w="2392" w:type="dxa"/>
          </w:tcPr>
          <w:p w:rsidR="00513C24" w:rsidRPr="001F589F" w:rsidRDefault="00513C24" w:rsidP="00513C24">
            <w:pPr>
              <w:spacing w:line="240" w:lineRule="auto"/>
            </w:pPr>
            <w:r w:rsidRPr="001F589F">
              <w:t>Название</w:t>
            </w:r>
          </w:p>
        </w:tc>
        <w:tc>
          <w:tcPr>
            <w:tcW w:w="2393" w:type="dxa"/>
          </w:tcPr>
          <w:p w:rsidR="00513C24" w:rsidRPr="001F589F" w:rsidRDefault="00513C24" w:rsidP="00513C24">
            <w:pPr>
              <w:spacing w:line="240" w:lineRule="auto"/>
            </w:pPr>
            <w:r w:rsidRPr="001F589F">
              <w:t>Типовой</w:t>
            </w:r>
            <w:r>
              <w:t xml:space="preserve"> подход </w:t>
            </w:r>
          </w:p>
        </w:tc>
        <w:tc>
          <w:tcPr>
            <w:tcW w:w="4786" w:type="dxa"/>
            <w:gridSpan w:val="2"/>
          </w:tcPr>
          <w:p w:rsidR="00513C24" w:rsidRDefault="00513C24" w:rsidP="00513C24">
            <w:pPr>
              <w:spacing w:line="240" w:lineRule="auto"/>
            </w:pPr>
            <w:r>
              <w:t>Индивидуальный подход</w:t>
            </w:r>
          </w:p>
        </w:tc>
      </w:tr>
      <w:tr w:rsidR="00513C24" w:rsidTr="00513C24">
        <w:tc>
          <w:tcPr>
            <w:tcW w:w="2392" w:type="dxa"/>
          </w:tcPr>
          <w:p w:rsidR="00513C24" w:rsidRDefault="00513C24" w:rsidP="00513C24">
            <w:pPr>
              <w:spacing w:line="240" w:lineRule="auto"/>
            </w:pPr>
            <w:r>
              <w:t>Применяемые методы оценки государственных программ</w:t>
            </w:r>
          </w:p>
        </w:tc>
        <w:tc>
          <w:tcPr>
            <w:tcW w:w="2393" w:type="dxa"/>
          </w:tcPr>
          <w:p w:rsidR="00513C24" w:rsidRDefault="00513C24" w:rsidP="00513C24">
            <w:pPr>
              <w:spacing w:line="240" w:lineRule="auto"/>
            </w:pPr>
            <w:r>
              <w:t>Интегральная оценка</w:t>
            </w:r>
          </w:p>
        </w:tc>
        <w:tc>
          <w:tcPr>
            <w:tcW w:w="2393" w:type="dxa"/>
          </w:tcPr>
          <w:p w:rsidR="00513C24" w:rsidRDefault="00513C24" w:rsidP="00513C24">
            <w:pPr>
              <w:spacing w:line="240" w:lineRule="auto"/>
            </w:pPr>
            <w:proofErr w:type="spellStart"/>
            <w:r>
              <w:t>Бально</w:t>
            </w:r>
            <w:proofErr w:type="spellEnd"/>
            <w:r>
              <w:t xml:space="preserve">-рейтинговая оценка </w:t>
            </w:r>
          </w:p>
        </w:tc>
        <w:tc>
          <w:tcPr>
            <w:tcW w:w="2393" w:type="dxa"/>
          </w:tcPr>
          <w:p w:rsidR="00513C24" w:rsidRDefault="00513C24" w:rsidP="00513C24">
            <w:pPr>
              <w:spacing w:line="240" w:lineRule="auto"/>
            </w:pPr>
            <w:r>
              <w:t>Методы анкетирования</w:t>
            </w:r>
          </w:p>
        </w:tc>
      </w:tr>
    </w:tbl>
    <w:p w:rsidR="00513C24" w:rsidRDefault="00513C24" w:rsidP="00513C24"/>
    <w:p w:rsidR="00710F5F" w:rsidRDefault="00710F5F" w:rsidP="00710F5F">
      <w:pPr>
        <w:ind w:firstLine="709"/>
      </w:pPr>
      <w:r>
        <w:t>В современных условиях эффективность многих целевых государственных программ существенно снижается из-за недостаточного финансирования, слабого мониторинга и неэффективного управления, отсутствия механизмов оценки и анализа социально-экономических эффектов, слабого научно-методического обеспечения, а также отсутствия ориентации на конечный результат реализации программы.</w:t>
      </w:r>
    </w:p>
    <w:p w:rsidR="00710F5F" w:rsidRDefault="00710F5F" w:rsidP="00710F5F">
      <w:pPr>
        <w:ind w:firstLine="709"/>
      </w:pPr>
      <w:r>
        <w:t>Оценка государственных программ способствует повышению роли и значимости программного подхода как важного инструмента решения социально-экономических проблем. В современных условиях фактор гибкости и своевременной адаптации к постоянно меняющимся социальным условиям и вызовам приобрел первостепенное значение, что напрямую связано с оценкой результатов реализации программ и проектов. Процесс оценки программы завершен: подготовка программы; Реализация программы; результаты программы; последствия и последствия; программа оценки проекта.</w:t>
      </w:r>
    </w:p>
    <w:p w:rsidR="00710F5F" w:rsidRDefault="00710F5F" w:rsidP="00710F5F">
      <w:pPr>
        <w:ind w:firstLine="709"/>
      </w:pPr>
      <w:r>
        <w:t>Если говорить о целевых программах и проектах, то среди наиболее используемых методов оценки целевых государственных программ можно выделить следующие виды программ</w:t>
      </w:r>
      <w:proofErr w:type="gramStart"/>
      <w:r>
        <w:t>::</w:t>
      </w:r>
      <w:proofErr w:type="gramEnd"/>
    </w:p>
    <w:p w:rsidR="00710F5F" w:rsidRDefault="00710F5F" w:rsidP="00710F5F">
      <w:pPr>
        <w:ind w:firstLine="709"/>
      </w:pPr>
      <w:r>
        <w:t xml:space="preserve">1. Оценка реализации программы включает изучение методов управления программной деятельностью, их эффективности, способности и способности организационной структуры справляться с поставленными </w:t>
      </w:r>
      <w:proofErr w:type="spellStart"/>
      <w:r>
        <w:t>задачами</w:t>
      </w:r>
      <w:proofErr w:type="gramStart"/>
      <w:r>
        <w:t>,с</w:t>
      </w:r>
      <w:proofErr w:type="gramEnd"/>
      <w:r>
        <w:t>пособности</w:t>
      </w:r>
      <w:proofErr w:type="spellEnd"/>
      <w:r>
        <w:t xml:space="preserve"> мобилизовать имеющиеся ресурсы, компетентности руководителей и сотрудников и др.</w:t>
      </w:r>
    </w:p>
    <w:p w:rsidR="00710F5F" w:rsidRDefault="00710F5F" w:rsidP="00710F5F">
      <w:pPr>
        <w:ind w:firstLine="709"/>
      </w:pPr>
      <w:r>
        <w:lastRenderedPageBreak/>
        <w:t xml:space="preserve">2. Оценка результатов политики предполагает изучение степени достижения целей и задач, полноты осуществления запланированных мероприятий и достижения соответствующих показателей. Здесь, пожалуй, самое </w:t>
      </w:r>
      <w:proofErr w:type="gramStart"/>
      <w:r>
        <w:t>сложное-это</w:t>
      </w:r>
      <w:proofErr w:type="gramEnd"/>
      <w:r>
        <w:t xml:space="preserve"> четкая постановка задачи и отсутствие набора хорошо отмеренных показателей. Это относится и к проблеме возможности оценки выбранного объекта, поскольку не все социальные явления могут быть точно измерены и количественно оценены.</w:t>
      </w:r>
    </w:p>
    <w:p w:rsidR="00710F5F" w:rsidRDefault="00710F5F" w:rsidP="00710F5F">
      <w:pPr>
        <w:ind w:firstLine="709"/>
      </w:pPr>
      <w:r>
        <w:t>3. Для оценки эффектов и последствий той или иной программы наиболее сложен вид оценки, хотя он все чаще используется, особенно при изучении эффектов экономического регулирования. Трудность заключается в том, что последствия могут проявиться не сразу, а через определенный промежуток времени, иногда довольно продолжительный. Причем причины, приведшие к этим последствиям, зачастую не очень ясны, поскольку это может быть не связано непосредственно с реализацией данной программы, а является побочным эффектом других процессов. Кроме того, часто бывает трудно количественно оценить последствия.</w:t>
      </w:r>
    </w:p>
    <w:p w:rsidR="00710F5F" w:rsidRDefault="00710F5F" w:rsidP="00710F5F">
      <w:pPr>
        <w:ind w:firstLine="709"/>
      </w:pPr>
      <w:r>
        <w:t xml:space="preserve">4. Экономическая эффективность этих программ оценивается с использованием трех основных методов: </w:t>
      </w:r>
      <w:proofErr w:type="gramStart"/>
      <w:r>
        <w:t>затраты-выгода</w:t>
      </w:r>
      <w:proofErr w:type="gramEnd"/>
      <w:r>
        <w:t>; экономическая эффективность; и затраты-результаты. Они позволяют определить, насколько эффективно были израсходованы соответствующие ресурсы, выделенные на данную программу для достижения намеченных целей, и на каком уровне осуществлялась программа мероприятий.</w:t>
      </w:r>
    </w:p>
    <w:p w:rsidR="00710F5F" w:rsidRDefault="00710F5F" w:rsidP="00710F5F">
      <w:pPr>
        <w:ind w:firstLine="709"/>
      </w:pPr>
      <w:r>
        <w:t>5. Оценка подготовительной стадии программы направлена на изучение деятельности, связанной с разработкой программы работы, сбором информации, анализом эмпирических данных, постановкой целей, разработкой плана работы и консультированием.</w:t>
      </w:r>
    </w:p>
    <w:p w:rsidR="00710F5F" w:rsidRDefault="00710F5F" w:rsidP="00710F5F">
      <w:pPr>
        <w:ind w:firstLine="709"/>
      </w:pPr>
      <w:r>
        <w:t>Следует отметить, что методология оценки должна быть интегрирована в систему управления программой и увязана с текущей деятельностью.</w:t>
      </w:r>
    </w:p>
    <w:p w:rsidR="00710F5F" w:rsidRDefault="00710F5F" w:rsidP="00710F5F">
      <w:pPr>
        <w:ind w:firstLine="709"/>
      </w:pPr>
      <w:r>
        <w:t xml:space="preserve">Всесторонний анализ хода реализации программы должен дать ответы на эти вопросы. Запланированные мероприятия были выполнены и привели к </w:t>
      </w:r>
      <w:r>
        <w:lastRenderedPageBreak/>
        <w:t xml:space="preserve">успеху поставленных целей? Каковы характеристики и содержание этих видов деятельности? Таковы результаты и непреднамеренные последствия данного события? Верны ли цели и задачи? При этом пытаются проанализировать не только механизм и содержание социальных или </w:t>
      </w:r>
      <w:proofErr w:type="gramStart"/>
      <w:r>
        <w:t>экономических методов</w:t>
      </w:r>
      <w:proofErr w:type="gramEnd"/>
      <w:r>
        <w:t xml:space="preserve"> воздействия, но и определить реакцию общества, социальных групп и индивидов на это воздействие.</w:t>
      </w:r>
    </w:p>
    <w:p w:rsidR="00710F5F" w:rsidRDefault="00710F5F" w:rsidP="00710F5F">
      <w:pPr>
        <w:ind w:firstLine="709"/>
      </w:pPr>
      <w:r>
        <w:t>Необходимо учитывать тот факт, что характер содержания программы во многом определяет особенности организации и методики проведения оценки.</w:t>
      </w:r>
    </w:p>
    <w:p w:rsidR="00710F5F" w:rsidRDefault="00710F5F" w:rsidP="00710F5F">
      <w:pPr>
        <w:ind w:firstLine="709"/>
      </w:pPr>
      <w:r>
        <w:t>Например, когда вы анализируете результаты социальных программ, эти вопросы все еще изучаются: каковы основные цели социальной программы? Это показатели успешной реализации программы? Достигла ли программа целевой социальной группы, для которой она предназначалась? Он предоставляет соответствующие преимущества и определенные услуги? Как программы влияют на другие (нецелевые) социальные группы? Каковы непосредственные результаты и последствия программы для целевых и нецелевых групп в течение длительного периода времени? Можно ли это объяснить другими внешними обстоятельствами? У них есть последствия от реализации программы, которые не были запланированы заранее? Каковы выгоды и издержки (прямые и косвенные) социальной программы? Насколько эффективно использовались ресурсы для сравнения с альтернативами?</w:t>
      </w:r>
    </w:p>
    <w:p w:rsidR="00710F5F" w:rsidRDefault="00710F5F" w:rsidP="00710F5F">
      <w:pPr>
        <w:ind w:firstLine="709"/>
      </w:pPr>
      <w:r>
        <w:t xml:space="preserve">В заключение представлен алгоритм </w:t>
      </w:r>
      <w:proofErr w:type="gramStart"/>
      <w:r>
        <w:t>экспресс-оценки</w:t>
      </w:r>
      <w:proofErr w:type="gramEnd"/>
      <w:r>
        <w:t xml:space="preserve"> государственных программ и проектов, который обеспечивает общий методологический подход в данной области.</w:t>
      </w:r>
    </w:p>
    <w:p w:rsidR="00710F5F" w:rsidRDefault="00710F5F" w:rsidP="00710F5F">
      <w:pPr>
        <w:ind w:firstLine="709"/>
      </w:pPr>
      <w:r>
        <w:t>Эти шаги оценки выделены ниже:</w:t>
      </w:r>
    </w:p>
    <w:p w:rsidR="00710F5F" w:rsidRDefault="00710F5F" w:rsidP="00710F5F">
      <w:pPr>
        <w:ind w:firstLine="709"/>
      </w:pPr>
      <w:r>
        <w:t>-  определить цели и направления оценки, ее полезность (потребность, личные финансы, время, результаты);</w:t>
      </w:r>
    </w:p>
    <w:p w:rsidR="00710F5F" w:rsidRDefault="00710F5F" w:rsidP="00710F5F">
      <w:pPr>
        <w:ind w:firstLine="709"/>
      </w:pPr>
      <w:r>
        <w:t>-  определение содержания информации для различных групп (политики, чиновники, менеджеры, потребители);</w:t>
      </w:r>
    </w:p>
    <w:p w:rsidR="00710F5F" w:rsidRDefault="00710F5F" w:rsidP="00710F5F">
      <w:pPr>
        <w:ind w:firstLine="709"/>
      </w:pPr>
      <w:r>
        <w:t>-  определение объекта оценки;</w:t>
      </w:r>
    </w:p>
    <w:p w:rsidR="00710F5F" w:rsidRDefault="00710F5F" w:rsidP="00710F5F">
      <w:pPr>
        <w:ind w:firstLine="709"/>
      </w:pPr>
      <w:r>
        <w:t>-  определение оценки действий и мероприятий;</w:t>
      </w:r>
    </w:p>
    <w:p w:rsidR="00710F5F" w:rsidRDefault="00710F5F" w:rsidP="00710F5F">
      <w:pPr>
        <w:ind w:firstLine="709"/>
      </w:pPr>
      <w:r>
        <w:lastRenderedPageBreak/>
        <w:t>-  разработка инструментов оценки;</w:t>
      </w:r>
    </w:p>
    <w:p w:rsidR="00710F5F" w:rsidRDefault="00710F5F" w:rsidP="00710F5F">
      <w:pPr>
        <w:ind w:firstLine="709"/>
      </w:pPr>
      <w:r>
        <w:t>-  сделайте оценку;</w:t>
      </w:r>
    </w:p>
    <w:p w:rsidR="00710F5F" w:rsidRDefault="00710F5F" w:rsidP="00710F5F">
      <w:pPr>
        <w:ind w:firstLine="709"/>
      </w:pPr>
      <w:r>
        <w:t>-  определить роль политических факторов и административных;</w:t>
      </w:r>
    </w:p>
    <w:p w:rsidR="00710F5F" w:rsidRDefault="00710F5F" w:rsidP="00710F5F">
      <w:pPr>
        <w:ind w:firstLine="709"/>
      </w:pPr>
      <w:r>
        <w:t>-  предложения по улучшению программы после оценки;</w:t>
      </w:r>
    </w:p>
    <w:p w:rsidR="00710F5F" w:rsidRDefault="00710F5F" w:rsidP="00710F5F">
      <w:pPr>
        <w:ind w:firstLine="709"/>
      </w:pPr>
      <w:r>
        <w:t>-  подготовить отчет об оценке программы.</w:t>
      </w:r>
    </w:p>
    <w:p w:rsidR="00710F5F" w:rsidRDefault="00710F5F" w:rsidP="00710F5F">
      <w:pPr>
        <w:ind w:firstLine="709"/>
      </w:pPr>
      <w:r>
        <w:t>Подводя итоги, можно сказать, что государственная целевая программа-это комплекс мер, обеспечивающих эффективное решение задач в области государственного, экономического, экологического, социального и культурного развития государства.</w:t>
      </w:r>
      <w:r w:rsidR="00923279">
        <w:t xml:space="preserve"> </w:t>
      </w:r>
      <w:proofErr w:type="gramStart"/>
      <w:r>
        <w:t>Целевые программы подразделяются на: федеральные, региональные, муниципальные; международные, государственные, межотраслевые, отраслевые, местные; комплексные, научно-исследовательские, научно-технические, социально-экономические, организационно-экономические, производственно-хозяйственные; долгосрочные, среднесрочные, краткосрочные.</w:t>
      </w:r>
      <w:proofErr w:type="gramEnd"/>
      <w:r w:rsidR="00923279">
        <w:t xml:space="preserve"> </w:t>
      </w:r>
      <w:r>
        <w:t>Реализация целевых программ осуществляется на основе нормативных правовых актов Российской Федерации, на основании которых принимаются законы, постановления и решения на уровне регионов и муниципальных образований.</w:t>
      </w:r>
      <w:r w:rsidR="00923279">
        <w:t xml:space="preserve"> </w:t>
      </w:r>
      <w:r>
        <w:t>К первым этапам разработки целевой государственной программы относятся: выявление проблем, разработка концепции, подготовка предложений, принятие решений, проектирование программ, разработка программных мероприятий, экспертиза, принятие решений по программе в форме официального документа.</w:t>
      </w:r>
    </w:p>
    <w:p w:rsidR="00710F5F" w:rsidRDefault="00710F5F" w:rsidP="00710F5F">
      <w:pPr>
        <w:ind w:firstLine="709"/>
      </w:pPr>
      <w:r>
        <w:t>Когда эта программа реализуется, результаты и последствия оцениваются, и ее реализация контролируется.</w:t>
      </w:r>
    </w:p>
    <w:p w:rsidR="00513C24" w:rsidRDefault="00710F5F" w:rsidP="00710F5F">
      <w:pPr>
        <w:ind w:firstLine="709"/>
      </w:pPr>
      <w:r>
        <w:t xml:space="preserve">После рассмотрения теоретических вопросов о состоянии целевой программы рекомендуется перейти к практической реализации и реализации целевой программы в </w:t>
      </w:r>
      <w:proofErr w:type="spellStart"/>
      <w:r w:rsidRPr="00EE66DE">
        <w:t>Верхнесергинском</w:t>
      </w:r>
      <w:proofErr w:type="spellEnd"/>
      <w:r w:rsidRPr="00EE66DE">
        <w:t xml:space="preserve"> муниципальном образовании</w:t>
      </w:r>
      <w:r>
        <w:t>.</w:t>
      </w:r>
    </w:p>
    <w:p w:rsidR="00710F5F" w:rsidRPr="003E7E0C" w:rsidRDefault="00710F5F" w:rsidP="00513C24"/>
    <w:p w:rsidR="00A43A3D" w:rsidRDefault="00A43A3D">
      <w:pPr>
        <w:spacing w:after="200" w:line="276" w:lineRule="auto"/>
        <w:jc w:val="left"/>
      </w:pPr>
      <w:r>
        <w:br w:type="page"/>
      </w:r>
    </w:p>
    <w:p w:rsidR="0095792F" w:rsidRDefault="0095792F" w:rsidP="0095792F">
      <w:pPr>
        <w:pStyle w:val="1"/>
      </w:pPr>
      <w:bookmarkStart w:id="4" w:name="_Toc31379400"/>
      <w:r>
        <w:lastRenderedPageBreak/>
        <w:t>2. Оценка эффективности государственной программы «</w:t>
      </w:r>
      <w:r w:rsidR="00D82C36">
        <w:t>Повышение производительности труда и поддержка занятости</w:t>
      </w:r>
      <w:r>
        <w:t>»</w:t>
      </w:r>
      <w:bookmarkEnd w:id="4"/>
    </w:p>
    <w:p w:rsidR="002021AB" w:rsidRPr="00B4397A" w:rsidRDefault="002021AB" w:rsidP="002021AB"/>
    <w:p w:rsidR="00923279" w:rsidRDefault="00923279" w:rsidP="00923279">
      <w:pPr>
        <w:pStyle w:val="1"/>
        <w:ind w:firstLine="709"/>
      </w:pPr>
      <w:bookmarkStart w:id="5" w:name="_Toc27499348"/>
      <w:bookmarkStart w:id="6" w:name="_Toc31379401"/>
      <w:r>
        <w:t xml:space="preserve">2.1 </w:t>
      </w:r>
      <w:bookmarkEnd w:id="5"/>
      <w:r>
        <w:t>Основные проблемы исполнения национальной программы «Повышение производительности труда и поддержка занятости»</w:t>
      </w:r>
      <w:bookmarkEnd w:id="6"/>
      <w:r>
        <w:t xml:space="preserve"> </w:t>
      </w:r>
    </w:p>
    <w:p w:rsidR="00923279" w:rsidRDefault="00923279" w:rsidP="00923279">
      <w:pPr>
        <w:pStyle w:val="1"/>
        <w:ind w:firstLine="709"/>
      </w:pPr>
    </w:p>
    <w:p w:rsidR="00923279" w:rsidRPr="00E16D95" w:rsidRDefault="00923279" w:rsidP="00923279">
      <w:pPr>
        <w:ind w:firstLine="709"/>
      </w:pPr>
      <w:r w:rsidRPr="00E16D95">
        <w:t xml:space="preserve">Нестабильность экономической ситуации в стране и в мире повлияли на уровень производительности труда. Ударом в 2014 году стала </w:t>
      </w:r>
      <w:proofErr w:type="spellStart"/>
      <w:r w:rsidRPr="00E16D95">
        <w:t>санкционная</w:t>
      </w:r>
      <w:proofErr w:type="spellEnd"/>
      <w:r w:rsidRPr="00E16D95">
        <w:t xml:space="preserve"> война, введение санкций против ряда предприятий различных отраслей затруднило международное введение бизнеса, что отразилось на прибыли. Это привело к сокращению реальных зарплат и сокращение численности персонала. Динамика производительности труда зависит от темпов роста экономики и целенаправленных усилий по повышению эффективности производств и внедрению новых технологий. С сентября 2017 года Минэкономразвития реализует проект по повышению производительности труда и поддержке занятости за счет внутренних резервов предприятий. Согласно паспорту программы, в 2018 году на 150 предприятиях в 15 регионах запускаются специальные программы по совершенствованию </w:t>
      </w:r>
      <w:proofErr w:type="gramStart"/>
      <w:r w:rsidRPr="00E16D95">
        <w:t>бизнес-моделей</w:t>
      </w:r>
      <w:proofErr w:type="gramEnd"/>
      <w:r w:rsidRPr="00E16D95">
        <w:t xml:space="preserve"> и переобучению работников. Эти мероприятия позволили в 2017 году увеличить производительность труда по стране на 1.9%.</w:t>
      </w:r>
    </w:p>
    <w:p w:rsidR="00923279" w:rsidRPr="00E16D95" w:rsidRDefault="00923279" w:rsidP="00923279">
      <w:pPr>
        <w:ind w:firstLine="709"/>
      </w:pPr>
      <w:r w:rsidRPr="00E16D95">
        <w:t xml:space="preserve">Производительность труда находится на низком уровне, так как в последние годы не было достаточного прироста инвестиций, который мог бы транслироваться в рост производительности, добавляет она. В 2019 году рост ВВП замедлится до 1,4% с 1,9% в 2018 году на фоне роста НДС до 20% и отложенного запуска проектов </w:t>
      </w:r>
      <w:proofErr w:type="gramStart"/>
      <w:r w:rsidRPr="00E16D95">
        <w:t>с</w:t>
      </w:r>
      <w:proofErr w:type="gramEnd"/>
      <w:r w:rsidRPr="00E16D95">
        <w:t xml:space="preserve"> </w:t>
      </w:r>
      <w:proofErr w:type="spellStart"/>
      <w:r w:rsidRPr="00E16D95">
        <w:t>госучастием</w:t>
      </w:r>
      <w:proofErr w:type="spellEnd"/>
      <w:r w:rsidRPr="00E16D95">
        <w:t xml:space="preserve">, следует из </w:t>
      </w:r>
      <w:proofErr w:type="spellStart"/>
      <w:r w:rsidRPr="00E16D95">
        <w:t>макропрогноза</w:t>
      </w:r>
      <w:proofErr w:type="spellEnd"/>
      <w:r w:rsidRPr="00E16D95">
        <w:t>. Рост инвестиций в основной капитал тоже затормозит: в этом году он составит 3,5%, а в следующем — 3,1% (в 2017-м было 4,4%), говорится в прогнозе. С 2020 года министерство ожидает оживление роста инвестиций (он достигнет 6–7%) и, как следствие, ускорение ВВП (до 2–3%).</w:t>
      </w:r>
    </w:p>
    <w:p w:rsidR="00923279" w:rsidRDefault="00923279" w:rsidP="00923279">
      <w:pPr>
        <w:ind w:firstLine="709"/>
      </w:pPr>
      <w:r w:rsidRPr="00E16D95">
        <w:lastRenderedPageBreak/>
        <w:t>Согласно данным Росстата, можем сделать вывод о значительной дифференциации индекса производительности труда в отраслях экономики России и различиях его динамики в 200</w:t>
      </w:r>
      <w:r>
        <w:t>8</w:t>
      </w:r>
      <w:r w:rsidRPr="00E16D95">
        <w:t>–201</w:t>
      </w:r>
      <w:r>
        <w:t>8</w:t>
      </w:r>
      <w:r w:rsidRPr="00E16D95">
        <w:t xml:space="preserve"> годах, проявляющейся в неравномерности изменений в рассматриваемом периоде (Таблица</w:t>
      </w:r>
      <w:r>
        <w:t xml:space="preserve"> 2</w:t>
      </w:r>
      <w:r w:rsidRPr="00E16D95">
        <w:t>).</w:t>
      </w:r>
    </w:p>
    <w:p w:rsidR="00923279" w:rsidRPr="00E16D95" w:rsidRDefault="00923279" w:rsidP="00923279">
      <w:pPr>
        <w:ind w:firstLine="709"/>
      </w:pPr>
    </w:p>
    <w:p w:rsidR="00923279" w:rsidRPr="00E16D95" w:rsidRDefault="00923279" w:rsidP="00923279">
      <w:pPr>
        <w:ind w:firstLine="709"/>
      </w:pPr>
      <w:r>
        <w:t xml:space="preserve">Таблица 2 – </w:t>
      </w:r>
      <w:r w:rsidRPr="00E16D95">
        <w:t>Индекс производительности труда по России и основным отраслям экономики Российской Федерации в 200</w:t>
      </w:r>
      <w:r>
        <w:t>8</w:t>
      </w:r>
      <w:r w:rsidRPr="00E16D95">
        <w:t>–201</w:t>
      </w:r>
      <w:r>
        <w:t>8</w:t>
      </w:r>
      <w:r w:rsidRPr="00E16D95">
        <w:t xml:space="preserve"> годах, </w:t>
      </w:r>
      <w:proofErr w:type="gramStart"/>
      <w:r w:rsidRPr="00E16D95">
        <w:t>в</w:t>
      </w:r>
      <w:proofErr w:type="gramEnd"/>
      <w:r w:rsidRPr="00E16D95">
        <w:t xml:space="preserve"> %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795"/>
        <w:gridCol w:w="666"/>
        <w:gridCol w:w="666"/>
        <w:gridCol w:w="666"/>
        <w:gridCol w:w="666"/>
        <w:gridCol w:w="666"/>
        <w:gridCol w:w="666"/>
        <w:gridCol w:w="666"/>
        <w:gridCol w:w="699"/>
        <w:gridCol w:w="726"/>
        <w:gridCol w:w="693"/>
        <w:gridCol w:w="996"/>
      </w:tblGrid>
      <w:tr w:rsidR="00923279" w:rsidRPr="009662C5" w:rsidTr="00923279">
        <w:trPr>
          <w:trHeight w:val="300"/>
        </w:trPr>
        <w:tc>
          <w:tcPr>
            <w:tcW w:w="1795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Отрасли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2009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2010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2011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2012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2013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2014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2015</w:t>
            </w:r>
          </w:p>
        </w:tc>
        <w:tc>
          <w:tcPr>
            <w:tcW w:w="699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2016</w:t>
            </w:r>
          </w:p>
        </w:tc>
        <w:tc>
          <w:tcPr>
            <w:tcW w:w="72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2017</w:t>
            </w:r>
          </w:p>
        </w:tc>
        <w:tc>
          <w:tcPr>
            <w:tcW w:w="693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2018</w:t>
            </w:r>
          </w:p>
        </w:tc>
        <w:tc>
          <w:tcPr>
            <w:tcW w:w="99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Средний темп прироста с 2008 года по 2018 год</w:t>
            </w:r>
          </w:p>
        </w:tc>
      </w:tr>
      <w:tr w:rsidR="00923279" w:rsidRPr="009662C5" w:rsidTr="00923279">
        <w:trPr>
          <w:trHeight w:val="300"/>
        </w:trPr>
        <w:tc>
          <w:tcPr>
            <w:tcW w:w="1795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В целом по экономике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104,8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95,9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103,2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103,8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103,5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101,8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100,7</w:t>
            </w:r>
          </w:p>
        </w:tc>
        <w:tc>
          <w:tcPr>
            <w:tcW w:w="699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97,8</w:t>
            </w:r>
          </w:p>
        </w:tc>
        <w:tc>
          <w:tcPr>
            <w:tcW w:w="72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  <w:lang w:val="en-US"/>
              </w:rPr>
              <w:t>99,7</w:t>
            </w:r>
          </w:p>
        </w:tc>
        <w:tc>
          <w:tcPr>
            <w:tcW w:w="693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101,6</w:t>
            </w:r>
          </w:p>
        </w:tc>
        <w:tc>
          <w:tcPr>
            <w:tcW w:w="99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1,28</w:t>
            </w:r>
          </w:p>
        </w:tc>
      </w:tr>
      <w:tr w:rsidR="00923279" w:rsidRPr="009662C5" w:rsidTr="00923279">
        <w:trPr>
          <w:trHeight w:val="300"/>
        </w:trPr>
        <w:tc>
          <w:tcPr>
            <w:tcW w:w="1795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proofErr w:type="gramStart"/>
            <w:r w:rsidRPr="009662C5">
              <w:rPr>
                <w:sz w:val="20"/>
                <w:szCs w:val="28"/>
              </w:rPr>
              <w:t>Сельское</w:t>
            </w:r>
            <w:proofErr w:type="gramEnd"/>
            <w:r w:rsidRPr="009662C5">
              <w:rPr>
                <w:sz w:val="20"/>
                <w:szCs w:val="28"/>
              </w:rPr>
              <w:t xml:space="preserve"> хоз-во, охота и лесное хоз-во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110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104,6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88,3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115,1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100,4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106,5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103,3</w:t>
            </w:r>
          </w:p>
        </w:tc>
        <w:tc>
          <w:tcPr>
            <w:tcW w:w="699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104,9</w:t>
            </w:r>
          </w:p>
        </w:tc>
        <w:tc>
          <w:tcPr>
            <w:tcW w:w="72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  <w:lang w:val="en-US"/>
              </w:rPr>
              <w:t>103,5</w:t>
            </w:r>
          </w:p>
        </w:tc>
        <w:tc>
          <w:tcPr>
            <w:tcW w:w="693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104,5</w:t>
            </w:r>
          </w:p>
        </w:tc>
        <w:tc>
          <w:tcPr>
            <w:tcW w:w="99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4,11</w:t>
            </w:r>
          </w:p>
        </w:tc>
      </w:tr>
      <w:tr w:rsidR="00923279" w:rsidRPr="009662C5" w:rsidTr="00923279">
        <w:trPr>
          <w:trHeight w:val="300"/>
        </w:trPr>
        <w:tc>
          <w:tcPr>
            <w:tcW w:w="1795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Рыболовство, рыбоводство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95,4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106,3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97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103,5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108,5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103,8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96,1</w:t>
            </w:r>
          </w:p>
        </w:tc>
        <w:tc>
          <w:tcPr>
            <w:tcW w:w="699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99,5</w:t>
            </w:r>
          </w:p>
        </w:tc>
        <w:tc>
          <w:tcPr>
            <w:tcW w:w="72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  <w:lang w:val="en-US"/>
              </w:rPr>
              <w:t>95,6</w:t>
            </w:r>
          </w:p>
        </w:tc>
        <w:tc>
          <w:tcPr>
            <w:tcW w:w="693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95,4</w:t>
            </w:r>
          </w:p>
        </w:tc>
        <w:tc>
          <w:tcPr>
            <w:tcW w:w="99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0,11</w:t>
            </w:r>
          </w:p>
        </w:tc>
      </w:tr>
      <w:tr w:rsidR="00923279" w:rsidRPr="009662C5" w:rsidTr="00923279">
        <w:trPr>
          <w:trHeight w:val="300"/>
        </w:trPr>
        <w:tc>
          <w:tcPr>
            <w:tcW w:w="1795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Добыча полезных ископаемых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100,9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108,5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104,3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102,7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100,4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97,1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102,8</w:t>
            </w:r>
          </w:p>
        </w:tc>
        <w:tc>
          <w:tcPr>
            <w:tcW w:w="699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98,4</w:t>
            </w:r>
          </w:p>
        </w:tc>
        <w:tc>
          <w:tcPr>
            <w:tcW w:w="72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  <w:lang w:val="en-US"/>
              </w:rPr>
              <w:t>100,3</w:t>
            </w:r>
          </w:p>
        </w:tc>
        <w:tc>
          <w:tcPr>
            <w:tcW w:w="693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98,9</w:t>
            </w:r>
          </w:p>
        </w:tc>
        <w:tc>
          <w:tcPr>
            <w:tcW w:w="99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1,43</w:t>
            </w:r>
          </w:p>
        </w:tc>
      </w:tr>
      <w:tr w:rsidR="00923279" w:rsidRPr="009662C5" w:rsidTr="00923279">
        <w:trPr>
          <w:trHeight w:val="300"/>
        </w:trPr>
        <w:tc>
          <w:tcPr>
            <w:tcW w:w="1795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Обрабатывающие производства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102,6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95,9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105,2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105,6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105,7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106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102,5</w:t>
            </w:r>
          </w:p>
        </w:tc>
        <w:tc>
          <w:tcPr>
            <w:tcW w:w="699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96,9</w:t>
            </w:r>
          </w:p>
        </w:tc>
        <w:tc>
          <w:tcPr>
            <w:tcW w:w="72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  <w:lang w:val="en-US"/>
              </w:rPr>
              <w:t>99,3</w:t>
            </w:r>
          </w:p>
        </w:tc>
        <w:tc>
          <w:tcPr>
            <w:tcW w:w="693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97,7</w:t>
            </w:r>
          </w:p>
        </w:tc>
        <w:tc>
          <w:tcPr>
            <w:tcW w:w="99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1,74</w:t>
            </w:r>
          </w:p>
        </w:tc>
      </w:tr>
      <w:tr w:rsidR="00923279" w:rsidRPr="009662C5" w:rsidTr="00923279">
        <w:trPr>
          <w:trHeight w:val="510"/>
        </w:trPr>
        <w:tc>
          <w:tcPr>
            <w:tcW w:w="1795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Производство и распределение электроэнергии, газа и воды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102,1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96,3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103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99,8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101,3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99,5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100,2</w:t>
            </w:r>
          </w:p>
        </w:tc>
        <w:tc>
          <w:tcPr>
            <w:tcW w:w="699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99,9</w:t>
            </w:r>
          </w:p>
        </w:tc>
        <w:tc>
          <w:tcPr>
            <w:tcW w:w="72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  <w:lang w:val="en-US"/>
              </w:rPr>
              <w:t>100,5</w:t>
            </w:r>
          </w:p>
        </w:tc>
        <w:tc>
          <w:tcPr>
            <w:tcW w:w="693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97,6</w:t>
            </w:r>
          </w:p>
        </w:tc>
        <w:tc>
          <w:tcPr>
            <w:tcW w:w="99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0,02</w:t>
            </w:r>
          </w:p>
        </w:tc>
      </w:tr>
      <w:tr w:rsidR="00923279" w:rsidRPr="009662C5" w:rsidTr="00923279">
        <w:trPr>
          <w:trHeight w:val="300"/>
        </w:trPr>
        <w:tc>
          <w:tcPr>
            <w:tcW w:w="1795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Строительство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109,1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94,4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99,6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105,2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101,6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99,8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98,4</w:t>
            </w:r>
          </w:p>
        </w:tc>
        <w:tc>
          <w:tcPr>
            <w:tcW w:w="699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101</w:t>
            </w:r>
          </w:p>
        </w:tc>
        <w:tc>
          <w:tcPr>
            <w:tcW w:w="72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  <w:lang w:val="en-US"/>
              </w:rPr>
              <w:t>99,9</w:t>
            </w:r>
          </w:p>
        </w:tc>
        <w:tc>
          <w:tcPr>
            <w:tcW w:w="693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104</w:t>
            </w:r>
          </w:p>
        </w:tc>
        <w:tc>
          <w:tcPr>
            <w:tcW w:w="99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1,3</w:t>
            </w:r>
          </w:p>
        </w:tc>
      </w:tr>
      <w:tr w:rsidR="00923279" w:rsidRPr="009662C5" w:rsidTr="00923279">
        <w:trPr>
          <w:trHeight w:val="765"/>
        </w:trPr>
        <w:tc>
          <w:tcPr>
            <w:tcW w:w="1795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108,1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99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103,6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101,9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102,1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100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98,7</w:t>
            </w:r>
          </w:p>
        </w:tc>
        <w:tc>
          <w:tcPr>
            <w:tcW w:w="699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91,5</w:t>
            </w:r>
          </w:p>
        </w:tc>
        <w:tc>
          <w:tcPr>
            <w:tcW w:w="72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  <w:lang w:val="en-US"/>
              </w:rPr>
              <w:t>94,4</w:t>
            </w:r>
          </w:p>
        </w:tc>
        <w:tc>
          <w:tcPr>
            <w:tcW w:w="693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92,6</w:t>
            </w:r>
          </w:p>
        </w:tc>
        <w:tc>
          <w:tcPr>
            <w:tcW w:w="99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-0,81</w:t>
            </w:r>
          </w:p>
        </w:tc>
      </w:tr>
      <w:tr w:rsidR="00923279" w:rsidRPr="009662C5" w:rsidTr="00923279">
        <w:trPr>
          <w:trHeight w:val="300"/>
        </w:trPr>
        <w:tc>
          <w:tcPr>
            <w:tcW w:w="1795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Гостиницы и рестораны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109,2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86,7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101,7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102,3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101,5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101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99,8</w:t>
            </w:r>
          </w:p>
        </w:tc>
        <w:tc>
          <w:tcPr>
            <w:tcW w:w="699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94,1</w:t>
            </w:r>
          </w:p>
        </w:tc>
        <w:tc>
          <w:tcPr>
            <w:tcW w:w="72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  <w:lang w:val="en-US"/>
              </w:rPr>
              <w:t>94,3</w:t>
            </w:r>
          </w:p>
        </w:tc>
        <w:tc>
          <w:tcPr>
            <w:tcW w:w="693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92,1</w:t>
            </w:r>
          </w:p>
        </w:tc>
        <w:tc>
          <w:tcPr>
            <w:tcW w:w="99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-1,73</w:t>
            </w:r>
          </w:p>
        </w:tc>
      </w:tr>
      <w:tr w:rsidR="00923279" w:rsidRPr="009662C5" w:rsidTr="00923279">
        <w:trPr>
          <w:trHeight w:val="300"/>
        </w:trPr>
        <w:tc>
          <w:tcPr>
            <w:tcW w:w="1795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Транспорт и связь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106,4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95,4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103,2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105,4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102,2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102,7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100,4</w:t>
            </w:r>
          </w:p>
        </w:tc>
        <w:tc>
          <w:tcPr>
            <w:tcW w:w="699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99,4</w:t>
            </w:r>
          </w:p>
        </w:tc>
        <w:tc>
          <w:tcPr>
            <w:tcW w:w="72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  <w:lang w:val="en-US"/>
              </w:rPr>
              <w:t>99</w:t>
            </w:r>
          </w:p>
        </w:tc>
        <w:tc>
          <w:tcPr>
            <w:tcW w:w="693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101,6</w:t>
            </w:r>
          </w:p>
        </w:tc>
        <w:tc>
          <w:tcPr>
            <w:tcW w:w="99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1,57</w:t>
            </w:r>
          </w:p>
        </w:tc>
      </w:tr>
      <w:tr w:rsidR="00923279" w:rsidRPr="009662C5" w:rsidTr="00923279">
        <w:trPr>
          <w:trHeight w:val="510"/>
        </w:trPr>
        <w:tc>
          <w:tcPr>
            <w:tcW w:w="1795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107,5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97,5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104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99,6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103,2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100,2</w:t>
            </w:r>
          </w:p>
        </w:tc>
        <w:tc>
          <w:tcPr>
            <w:tcW w:w="666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98,6</w:t>
            </w:r>
          </w:p>
        </w:tc>
        <w:tc>
          <w:tcPr>
            <w:tcW w:w="699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97,2</w:t>
            </w:r>
          </w:p>
        </w:tc>
        <w:tc>
          <w:tcPr>
            <w:tcW w:w="72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  <w:lang w:val="en-US"/>
              </w:rPr>
              <w:t>100,2</w:t>
            </w:r>
          </w:p>
        </w:tc>
        <w:tc>
          <w:tcPr>
            <w:tcW w:w="693" w:type="dxa"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102,6</w:t>
            </w:r>
          </w:p>
        </w:tc>
        <w:tc>
          <w:tcPr>
            <w:tcW w:w="996" w:type="dxa"/>
            <w:noWrap/>
            <w:vAlign w:val="center"/>
            <w:hideMark/>
          </w:tcPr>
          <w:p w:rsidR="00923279" w:rsidRPr="009662C5" w:rsidRDefault="00923279" w:rsidP="00923279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9662C5">
              <w:rPr>
                <w:sz w:val="20"/>
                <w:szCs w:val="28"/>
              </w:rPr>
              <w:t>1,06</w:t>
            </w:r>
          </w:p>
        </w:tc>
      </w:tr>
    </w:tbl>
    <w:p w:rsidR="00923279" w:rsidRDefault="00923279" w:rsidP="00923279">
      <w:pPr>
        <w:ind w:firstLine="709"/>
        <w:rPr>
          <w:i/>
          <w:szCs w:val="28"/>
        </w:rPr>
      </w:pPr>
      <w:r w:rsidRPr="00E16D95">
        <w:rPr>
          <w:i/>
          <w:szCs w:val="28"/>
        </w:rPr>
        <w:t>Источник: построено автором за данными ac.gov.ru</w:t>
      </w:r>
    </w:p>
    <w:p w:rsidR="00923279" w:rsidRDefault="00923279" w:rsidP="00923279">
      <w:pPr>
        <w:ind w:firstLine="709"/>
        <w:rPr>
          <w:lang w:eastAsia="ru-RU"/>
        </w:rPr>
      </w:pPr>
    </w:p>
    <w:p w:rsidR="00923279" w:rsidRDefault="00923279" w:rsidP="00923279">
      <w:pPr>
        <w:ind w:firstLine="709"/>
        <w:rPr>
          <w:lang w:eastAsia="ru-RU"/>
        </w:rPr>
      </w:pPr>
      <w:r w:rsidRPr="00E16D95">
        <w:rPr>
          <w:lang w:eastAsia="ru-RU"/>
        </w:rPr>
        <w:lastRenderedPageBreak/>
        <w:t>В 201</w:t>
      </w:r>
      <w:r>
        <w:rPr>
          <w:lang w:eastAsia="ru-RU"/>
        </w:rPr>
        <w:t>8</w:t>
      </w:r>
      <w:r w:rsidRPr="00E16D95">
        <w:rPr>
          <w:lang w:eastAsia="ru-RU"/>
        </w:rPr>
        <w:t xml:space="preserve"> году на рынке труда проявились демографические ограничения. Численность рабочей силы сократилась на 528 тыс. человек (минус 0,7%), численность занятых - на 251 тыс. человек (минус 0,3%). Увеличение выпуска обеспечивалось ростом производительности труда, который, по оценке Минэкономразвития, составил 1,9%", - говорится в ежемесячном мониторинге ведомства "Картина экономики".</w:t>
      </w:r>
      <w:r>
        <w:rPr>
          <w:lang w:eastAsia="ru-RU"/>
        </w:rPr>
        <w:t xml:space="preserve"> </w:t>
      </w:r>
      <w:r w:rsidRPr="00E16D95">
        <w:rPr>
          <w:lang w:eastAsia="ru-RU"/>
        </w:rPr>
        <w:t>В 201</w:t>
      </w:r>
      <w:r>
        <w:rPr>
          <w:lang w:eastAsia="ru-RU"/>
        </w:rPr>
        <w:t>8</w:t>
      </w:r>
      <w:r w:rsidRPr="00E16D95">
        <w:rPr>
          <w:lang w:eastAsia="ru-RU"/>
        </w:rPr>
        <w:t xml:space="preserve"> году демографические ограничения на рынке труда усилились: численность рабочей силы сократилась на 528 тыс. человек, или на 0,7%, численность занятых – на 251 тыс. человек, или на 0,3%.</w:t>
      </w:r>
    </w:p>
    <w:p w:rsidR="00923279" w:rsidRDefault="00923279" w:rsidP="00923279">
      <w:pPr>
        <w:ind w:firstLine="709"/>
        <w:rPr>
          <w:lang w:eastAsia="ru-RU"/>
        </w:rPr>
      </w:pPr>
      <w:r>
        <w:rPr>
          <w:lang w:eastAsia="ru-RU"/>
        </w:rPr>
        <w:t xml:space="preserve">Формирование оптимальности на рынке труда играет важную роль в поддержании эффективной производительности труда в экономике страны (Таблица 3). </w:t>
      </w:r>
    </w:p>
    <w:p w:rsidR="00923279" w:rsidRDefault="00923279" w:rsidP="00923279">
      <w:pPr>
        <w:ind w:firstLine="709"/>
        <w:rPr>
          <w:lang w:eastAsia="ru-RU"/>
        </w:rPr>
      </w:pPr>
    </w:p>
    <w:p w:rsidR="00923279" w:rsidRDefault="00923279" w:rsidP="00923279">
      <w:pPr>
        <w:ind w:firstLine="709"/>
        <w:rPr>
          <w:lang w:eastAsia="ru-RU"/>
        </w:rPr>
      </w:pPr>
      <w:r>
        <w:rPr>
          <w:lang w:eastAsia="ru-RU"/>
        </w:rPr>
        <w:t xml:space="preserve">Таблица 3 – </w:t>
      </w:r>
      <w:r w:rsidRPr="00DC48DE">
        <w:rPr>
          <w:lang w:eastAsia="ru-RU"/>
        </w:rPr>
        <w:t>Уровень занятости населения в возрасте 15-72 лет по субъектам Российской Федерации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72"/>
        <w:gridCol w:w="741"/>
        <w:gridCol w:w="754"/>
        <w:gridCol w:w="706"/>
        <w:gridCol w:w="771"/>
        <w:gridCol w:w="728"/>
        <w:gridCol w:w="767"/>
        <w:gridCol w:w="706"/>
        <w:gridCol w:w="706"/>
        <w:gridCol w:w="706"/>
        <w:gridCol w:w="728"/>
        <w:gridCol w:w="1042"/>
      </w:tblGrid>
      <w:tr w:rsidR="00923279" w:rsidRPr="00DC48DE" w:rsidTr="00923279">
        <w:trPr>
          <w:trHeight w:val="255"/>
        </w:trPr>
        <w:tc>
          <w:tcPr>
            <w:tcW w:w="1216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2009</w:t>
            </w:r>
          </w:p>
        </w:tc>
        <w:tc>
          <w:tcPr>
            <w:tcW w:w="754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2010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2011</w:t>
            </w:r>
          </w:p>
        </w:tc>
        <w:tc>
          <w:tcPr>
            <w:tcW w:w="77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2012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2013</w:t>
            </w:r>
          </w:p>
        </w:tc>
        <w:tc>
          <w:tcPr>
            <w:tcW w:w="767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2014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2015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2016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2017</w:t>
            </w:r>
          </w:p>
        </w:tc>
        <w:tc>
          <w:tcPr>
            <w:tcW w:w="728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2018</w:t>
            </w:r>
          </w:p>
        </w:tc>
        <w:tc>
          <w:tcPr>
            <w:tcW w:w="1042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Средний темп прироста с 2009 года по 2018 год</w:t>
            </w:r>
          </w:p>
        </w:tc>
      </w:tr>
      <w:tr w:rsidR="00923279" w:rsidRPr="00DC48DE" w:rsidTr="00923279">
        <w:trPr>
          <w:trHeight w:val="345"/>
        </w:trPr>
        <w:tc>
          <w:tcPr>
            <w:tcW w:w="1216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Российская Федерация</w:t>
            </w:r>
          </w:p>
        </w:tc>
        <w:tc>
          <w:tcPr>
            <w:tcW w:w="74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62,0</w:t>
            </w:r>
          </w:p>
        </w:tc>
        <w:tc>
          <w:tcPr>
            <w:tcW w:w="754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62,7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63,9</w:t>
            </w:r>
          </w:p>
        </w:tc>
        <w:tc>
          <w:tcPr>
            <w:tcW w:w="77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64,9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64,8</w:t>
            </w:r>
          </w:p>
        </w:tc>
        <w:tc>
          <w:tcPr>
            <w:tcW w:w="767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65,3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65,3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65,7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65,5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65,6</w:t>
            </w:r>
          </w:p>
        </w:tc>
        <w:tc>
          <w:tcPr>
            <w:tcW w:w="1042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</w:p>
        </w:tc>
      </w:tr>
      <w:tr w:rsidR="00923279" w:rsidRPr="00DC48DE" w:rsidTr="00923279">
        <w:trPr>
          <w:trHeight w:val="345"/>
        </w:trPr>
        <w:tc>
          <w:tcPr>
            <w:tcW w:w="1216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Темп роста,%</w:t>
            </w:r>
          </w:p>
        </w:tc>
        <w:tc>
          <w:tcPr>
            <w:tcW w:w="74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102,6</w:t>
            </w:r>
          </w:p>
        </w:tc>
        <w:tc>
          <w:tcPr>
            <w:tcW w:w="754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101,1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101,9</w:t>
            </w:r>
          </w:p>
        </w:tc>
        <w:tc>
          <w:tcPr>
            <w:tcW w:w="77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101,6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99,8</w:t>
            </w:r>
          </w:p>
        </w:tc>
        <w:tc>
          <w:tcPr>
            <w:tcW w:w="767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100,8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100,0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100,6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99,7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100,2</w:t>
            </w:r>
          </w:p>
        </w:tc>
        <w:tc>
          <w:tcPr>
            <w:tcW w:w="1042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0,83</w:t>
            </w:r>
          </w:p>
        </w:tc>
      </w:tr>
      <w:tr w:rsidR="00923279" w:rsidRPr="00DC48DE" w:rsidTr="00923279">
        <w:trPr>
          <w:trHeight w:val="570"/>
        </w:trPr>
        <w:tc>
          <w:tcPr>
            <w:tcW w:w="1216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Центральный федеральный округ</w:t>
            </w:r>
          </w:p>
        </w:tc>
        <w:tc>
          <w:tcPr>
            <w:tcW w:w="74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64,2</w:t>
            </w:r>
          </w:p>
        </w:tc>
        <w:tc>
          <w:tcPr>
            <w:tcW w:w="754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65,1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66,3</w:t>
            </w:r>
          </w:p>
        </w:tc>
        <w:tc>
          <w:tcPr>
            <w:tcW w:w="77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67,8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67,5</w:t>
            </w:r>
          </w:p>
        </w:tc>
        <w:tc>
          <w:tcPr>
            <w:tcW w:w="767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68,4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68,2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69,0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69,0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69,3</w:t>
            </w:r>
          </w:p>
        </w:tc>
        <w:tc>
          <w:tcPr>
            <w:tcW w:w="1042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</w:p>
        </w:tc>
      </w:tr>
      <w:tr w:rsidR="00923279" w:rsidRPr="00DC48DE" w:rsidTr="00923279">
        <w:trPr>
          <w:trHeight w:val="570"/>
        </w:trPr>
        <w:tc>
          <w:tcPr>
            <w:tcW w:w="1216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Темп роста,%</w:t>
            </w:r>
          </w:p>
        </w:tc>
        <w:tc>
          <w:tcPr>
            <w:tcW w:w="74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101,6</w:t>
            </w:r>
          </w:p>
        </w:tc>
        <w:tc>
          <w:tcPr>
            <w:tcW w:w="754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101,4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101,8</w:t>
            </w:r>
          </w:p>
        </w:tc>
        <w:tc>
          <w:tcPr>
            <w:tcW w:w="77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102,3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99,6</w:t>
            </w:r>
          </w:p>
        </w:tc>
        <w:tc>
          <w:tcPr>
            <w:tcW w:w="767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101,3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99,7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101,2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100,0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100,4</w:t>
            </w:r>
          </w:p>
        </w:tc>
        <w:tc>
          <w:tcPr>
            <w:tcW w:w="1042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0,93</w:t>
            </w:r>
          </w:p>
        </w:tc>
      </w:tr>
      <w:tr w:rsidR="00923279" w:rsidRPr="00DC48DE" w:rsidTr="00923279">
        <w:trPr>
          <w:trHeight w:val="570"/>
        </w:trPr>
        <w:tc>
          <w:tcPr>
            <w:tcW w:w="1216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Северо-Западный федеральный округ</w:t>
            </w:r>
          </w:p>
        </w:tc>
        <w:tc>
          <w:tcPr>
            <w:tcW w:w="74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66,3</w:t>
            </w:r>
          </w:p>
        </w:tc>
        <w:tc>
          <w:tcPr>
            <w:tcW w:w="754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66,6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67,7</w:t>
            </w:r>
          </w:p>
        </w:tc>
        <w:tc>
          <w:tcPr>
            <w:tcW w:w="77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68,7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67,8</w:t>
            </w:r>
          </w:p>
        </w:tc>
        <w:tc>
          <w:tcPr>
            <w:tcW w:w="767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67,8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67,9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68,3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68,2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67,8</w:t>
            </w:r>
          </w:p>
        </w:tc>
        <w:tc>
          <w:tcPr>
            <w:tcW w:w="1042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</w:p>
        </w:tc>
      </w:tr>
      <w:tr w:rsidR="00923279" w:rsidRPr="00DC48DE" w:rsidTr="00923279">
        <w:trPr>
          <w:trHeight w:val="570"/>
        </w:trPr>
        <w:tc>
          <w:tcPr>
            <w:tcW w:w="1216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Темп роста,%</w:t>
            </w:r>
          </w:p>
        </w:tc>
        <w:tc>
          <w:tcPr>
            <w:tcW w:w="74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100,6</w:t>
            </w:r>
          </w:p>
        </w:tc>
        <w:tc>
          <w:tcPr>
            <w:tcW w:w="754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100,5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101,7</w:t>
            </w:r>
          </w:p>
        </w:tc>
        <w:tc>
          <w:tcPr>
            <w:tcW w:w="77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101,5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98,7</w:t>
            </w:r>
          </w:p>
        </w:tc>
        <w:tc>
          <w:tcPr>
            <w:tcW w:w="767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100,0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100,1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100,6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99,9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99,4</w:t>
            </w:r>
          </w:p>
        </w:tc>
        <w:tc>
          <w:tcPr>
            <w:tcW w:w="1042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0,3</w:t>
            </w:r>
          </w:p>
        </w:tc>
      </w:tr>
      <w:tr w:rsidR="00923279" w:rsidRPr="00DC48DE" w:rsidTr="00923279">
        <w:trPr>
          <w:trHeight w:val="255"/>
        </w:trPr>
        <w:tc>
          <w:tcPr>
            <w:tcW w:w="1216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Южный федеральный округ</w:t>
            </w:r>
          </w:p>
        </w:tc>
        <w:tc>
          <w:tcPr>
            <w:tcW w:w="74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59,5</w:t>
            </w:r>
          </w:p>
        </w:tc>
        <w:tc>
          <w:tcPr>
            <w:tcW w:w="754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59,6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60,5</w:t>
            </w:r>
          </w:p>
        </w:tc>
        <w:tc>
          <w:tcPr>
            <w:tcW w:w="77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61,6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61,4</w:t>
            </w:r>
          </w:p>
        </w:tc>
        <w:tc>
          <w:tcPr>
            <w:tcW w:w="767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61,6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62,0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62,6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62,8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63,1</w:t>
            </w:r>
          </w:p>
        </w:tc>
        <w:tc>
          <w:tcPr>
            <w:tcW w:w="1042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</w:p>
        </w:tc>
      </w:tr>
      <w:tr w:rsidR="00923279" w:rsidRPr="00DC48DE" w:rsidTr="00923279">
        <w:trPr>
          <w:trHeight w:val="255"/>
        </w:trPr>
        <w:tc>
          <w:tcPr>
            <w:tcW w:w="1216" w:type="dxa"/>
            <w:vAlign w:val="center"/>
            <w:hideMark/>
          </w:tcPr>
          <w:p w:rsidR="00923279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Темп роста,%</w:t>
            </w:r>
          </w:p>
          <w:p w:rsidR="00923279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923279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100,3</w:t>
            </w:r>
          </w:p>
        </w:tc>
        <w:tc>
          <w:tcPr>
            <w:tcW w:w="754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100,2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101,5</w:t>
            </w:r>
          </w:p>
        </w:tc>
        <w:tc>
          <w:tcPr>
            <w:tcW w:w="771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101,8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99,7</w:t>
            </w:r>
          </w:p>
        </w:tc>
        <w:tc>
          <w:tcPr>
            <w:tcW w:w="767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100,3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100,6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101,0</w:t>
            </w:r>
          </w:p>
        </w:tc>
        <w:tc>
          <w:tcPr>
            <w:tcW w:w="706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100,3</w:t>
            </w:r>
          </w:p>
        </w:tc>
        <w:tc>
          <w:tcPr>
            <w:tcW w:w="728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100,5</w:t>
            </w:r>
          </w:p>
        </w:tc>
        <w:tc>
          <w:tcPr>
            <w:tcW w:w="1042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0,62</w:t>
            </w:r>
          </w:p>
        </w:tc>
      </w:tr>
    </w:tbl>
    <w:p w:rsidR="00923279" w:rsidRDefault="00923279" w:rsidP="00923279">
      <w:pPr>
        <w:ind w:firstLine="709"/>
        <w:jc w:val="right"/>
        <w:rPr>
          <w:lang w:eastAsia="ru-RU"/>
        </w:rPr>
      </w:pPr>
    </w:p>
    <w:p w:rsidR="00923279" w:rsidRDefault="00923279" w:rsidP="00923279">
      <w:pPr>
        <w:ind w:firstLine="709"/>
        <w:jc w:val="right"/>
        <w:rPr>
          <w:lang w:eastAsia="ru-RU"/>
        </w:rPr>
      </w:pPr>
    </w:p>
    <w:p w:rsidR="00923279" w:rsidRDefault="00923279" w:rsidP="00923279">
      <w:pPr>
        <w:ind w:firstLine="709"/>
        <w:jc w:val="right"/>
        <w:rPr>
          <w:lang w:eastAsia="ru-RU"/>
        </w:rPr>
      </w:pPr>
      <w:r>
        <w:rPr>
          <w:lang w:eastAsia="ru-RU"/>
        </w:rPr>
        <w:lastRenderedPageBreak/>
        <w:t>Продолжение таблицы 3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56"/>
        <w:gridCol w:w="761"/>
        <w:gridCol w:w="776"/>
        <w:gridCol w:w="726"/>
        <w:gridCol w:w="794"/>
        <w:gridCol w:w="749"/>
        <w:gridCol w:w="790"/>
        <w:gridCol w:w="726"/>
        <w:gridCol w:w="726"/>
        <w:gridCol w:w="726"/>
        <w:gridCol w:w="749"/>
        <w:gridCol w:w="1075"/>
      </w:tblGrid>
      <w:tr w:rsidR="00923279" w:rsidRPr="00DC48DE" w:rsidTr="00923279">
        <w:trPr>
          <w:trHeight w:val="255"/>
        </w:trPr>
        <w:tc>
          <w:tcPr>
            <w:tcW w:w="2500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Северо-Кавказский федеральный округ</w:t>
            </w:r>
          </w:p>
        </w:tc>
        <w:tc>
          <w:tcPr>
            <w:tcW w:w="102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54,1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53,3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55,2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56,7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57,3</w:t>
            </w:r>
          </w:p>
        </w:tc>
        <w:tc>
          <w:tcPr>
            <w:tcW w:w="10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58,7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58,0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58,3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58,3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59,2</w:t>
            </w:r>
          </w:p>
        </w:tc>
        <w:tc>
          <w:tcPr>
            <w:tcW w:w="148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</w:p>
        </w:tc>
      </w:tr>
      <w:tr w:rsidR="00923279" w:rsidRPr="00DC48DE" w:rsidTr="00923279">
        <w:trPr>
          <w:trHeight w:val="255"/>
        </w:trPr>
        <w:tc>
          <w:tcPr>
            <w:tcW w:w="2500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Темп роста,%</w:t>
            </w:r>
          </w:p>
        </w:tc>
        <w:tc>
          <w:tcPr>
            <w:tcW w:w="102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99,0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98,5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103,6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102,7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101,1</w:t>
            </w:r>
          </w:p>
        </w:tc>
        <w:tc>
          <w:tcPr>
            <w:tcW w:w="10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102,4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98,8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100,5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100,0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101,5</w:t>
            </w:r>
          </w:p>
        </w:tc>
        <w:tc>
          <w:tcPr>
            <w:tcW w:w="148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0,81</w:t>
            </w:r>
          </w:p>
        </w:tc>
      </w:tr>
      <w:tr w:rsidR="00923279" w:rsidRPr="00DC48DE" w:rsidTr="00923279">
        <w:trPr>
          <w:trHeight w:val="450"/>
        </w:trPr>
        <w:tc>
          <w:tcPr>
            <w:tcW w:w="2500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Приволжский федеральный округ</w:t>
            </w:r>
          </w:p>
        </w:tc>
        <w:tc>
          <w:tcPr>
            <w:tcW w:w="102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61,8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62,7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63,9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64,9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64,7</w:t>
            </w:r>
          </w:p>
        </w:tc>
        <w:tc>
          <w:tcPr>
            <w:tcW w:w="10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65,3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65,6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65,9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65,1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64,7</w:t>
            </w:r>
          </w:p>
        </w:tc>
        <w:tc>
          <w:tcPr>
            <w:tcW w:w="148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</w:p>
        </w:tc>
      </w:tr>
      <w:tr w:rsidR="00923279" w:rsidRPr="00DC48DE" w:rsidTr="00923279">
        <w:trPr>
          <w:trHeight w:val="450"/>
        </w:trPr>
        <w:tc>
          <w:tcPr>
            <w:tcW w:w="2500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Темп роста,%</w:t>
            </w:r>
          </w:p>
        </w:tc>
        <w:tc>
          <w:tcPr>
            <w:tcW w:w="102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101,6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101,5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101,9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101,6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99,7</w:t>
            </w:r>
          </w:p>
        </w:tc>
        <w:tc>
          <w:tcPr>
            <w:tcW w:w="10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100,9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100,5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100,5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98,8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99,4</w:t>
            </w:r>
          </w:p>
        </w:tc>
        <w:tc>
          <w:tcPr>
            <w:tcW w:w="148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0,64</w:t>
            </w:r>
          </w:p>
        </w:tc>
      </w:tr>
      <w:tr w:rsidR="00923279" w:rsidRPr="00DC48DE" w:rsidTr="00923279">
        <w:trPr>
          <w:trHeight w:val="510"/>
        </w:trPr>
        <w:tc>
          <w:tcPr>
            <w:tcW w:w="2500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Уральский федеральный округ</w:t>
            </w:r>
          </w:p>
        </w:tc>
        <w:tc>
          <w:tcPr>
            <w:tcW w:w="102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63,1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63,6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65,0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65,9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66,0</w:t>
            </w:r>
          </w:p>
        </w:tc>
        <w:tc>
          <w:tcPr>
            <w:tcW w:w="10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66,0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66,0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65,8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65,6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65,8</w:t>
            </w:r>
          </w:p>
        </w:tc>
        <w:tc>
          <w:tcPr>
            <w:tcW w:w="148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</w:p>
        </w:tc>
      </w:tr>
      <w:tr w:rsidR="00923279" w:rsidRPr="00DC48DE" w:rsidTr="00923279">
        <w:trPr>
          <w:trHeight w:val="510"/>
        </w:trPr>
        <w:tc>
          <w:tcPr>
            <w:tcW w:w="2500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Темп роста,%</w:t>
            </w:r>
          </w:p>
        </w:tc>
        <w:tc>
          <w:tcPr>
            <w:tcW w:w="102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100,6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100,8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102,2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101,4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100,2</w:t>
            </w:r>
          </w:p>
        </w:tc>
        <w:tc>
          <w:tcPr>
            <w:tcW w:w="10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100,0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100,0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99,7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99,7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100,3</w:t>
            </w:r>
          </w:p>
        </w:tc>
        <w:tc>
          <w:tcPr>
            <w:tcW w:w="148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0,49</w:t>
            </w:r>
          </w:p>
        </w:tc>
      </w:tr>
      <w:tr w:rsidR="00923279" w:rsidRPr="00DC48DE" w:rsidTr="00923279">
        <w:trPr>
          <w:trHeight w:val="510"/>
        </w:trPr>
        <w:tc>
          <w:tcPr>
            <w:tcW w:w="2500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Сибирский федеральный округ</w:t>
            </w:r>
          </w:p>
        </w:tc>
        <w:tc>
          <w:tcPr>
            <w:tcW w:w="102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59,9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61,5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62,0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62,3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62,4</w:t>
            </w:r>
          </w:p>
        </w:tc>
        <w:tc>
          <w:tcPr>
            <w:tcW w:w="10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63,1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62,9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62,9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62,4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62,6</w:t>
            </w:r>
          </w:p>
        </w:tc>
        <w:tc>
          <w:tcPr>
            <w:tcW w:w="148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</w:p>
        </w:tc>
      </w:tr>
      <w:tr w:rsidR="00923279" w:rsidRPr="00DC48DE" w:rsidTr="00923279">
        <w:trPr>
          <w:trHeight w:val="510"/>
        </w:trPr>
        <w:tc>
          <w:tcPr>
            <w:tcW w:w="2500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Темп роста,%</w:t>
            </w:r>
          </w:p>
        </w:tc>
        <w:tc>
          <w:tcPr>
            <w:tcW w:w="102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100,8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100,6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100,8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100,5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100,2</w:t>
            </w:r>
          </w:p>
        </w:tc>
        <w:tc>
          <w:tcPr>
            <w:tcW w:w="10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101,1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99,7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100,0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99,2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100,3</w:t>
            </w:r>
          </w:p>
        </w:tc>
        <w:tc>
          <w:tcPr>
            <w:tcW w:w="148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0,32</w:t>
            </w:r>
          </w:p>
        </w:tc>
      </w:tr>
      <w:tr w:rsidR="00923279" w:rsidRPr="00DC48DE" w:rsidTr="00923279">
        <w:trPr>
          <w:trHeight w:val="540"/>
        </w:trPr>
        <w:tc>
          <w:tcPr>
            <w:tcW w:w="2500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102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60,9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61,2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62,8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63,3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63,6</w:t>
            </w:r>
          </w:p>
        </w:tc>
        <w:tc>
          <w:tcPr>
            <w:tcW w:w="10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63,9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64,2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64,5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64,7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65,1</w:t>
            </w:r>
          </w:p>
        </w:tc>
        <w:tc>
          <w:tcPr>
            <w:tcW w:w="148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</w:p>
        </w:tc>
      </w:tr>
      <w:tr w:rsidR="00923279" w:rsidRPr="00DC48DE" w:rsidTr="00923279">
        <w:trPr>
          <w:trHeight w:val="255"/>
        </w:trPr>
        <w:tc>
          <w:tcPr>
            <w:tcW w:w="2500" w:type="dxa"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bCs/>
                <w:sz w:val="20"/>
                <w:lang w:eastAsia="ru-RU"/>
              </w:rPr>
            </w:pPr>
            <w:r w:rsidRPr="00DC48DE">
              <w:rPr>
                <w:bCs/>
                <w:sz w:val="20"/>
                <w:lang w:eastAsia="ru-RU"/>
              </w:rPr>
              <w:t>Темп роста,%</w:t>
            </w:r>
          </w:p>
        </w:tc>
        <w:tc>
          <w:tcPr>
            <w:tcW w:w="102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100,8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100,6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102,6144</w:t>
            </w:r>
          </w:p>
        </w:tc>
        <w:tc>
          <w:tcPr>
            <w:tcW w:w="104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100,79618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100,4739</w:t>
            </w:r>
          </w:p>
        </w:tc>
        <w:tc>
          <w:tcPr>
            <w:tcW w:w="10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100,4717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100,4695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100,4673</w:t>
            </w:r>
          </w:p>
        </w:tc>
        <w:tc>
          <w:tcPr>
            <w:tcW w:w="96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100,3101</w:t>
            </w:r>
          </w:p>
        </w:tc>
        <w:tc>
          <w:tcPr>
            <w:tcW w:w="100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100,6182</w:t>
            </w:r>
          </w:p>
        </w:tc>
        <w:tc>
          <w:tcPr>
            <w:tcW w:w="1480" w:type="dxa"/>
            <w:noWrap/>
            <w:vAlign w:val="center"/>
            <w:hideMark/>
          </w:tcPr>
          <w:p w:rsidR="00923279" w:rsidRPr="00DC48DE" w:rsidRDefault="00923279" w:rsidP="00923279">
            <w:pPr>
              <w:spacing w:line="240" w:lineRule="auto"/>
              <w:jc w:val="center"/>
              <w:rPr>
                <w:sz w:val="20"/>
                <w:lang w:eastAsia="ru-RU"/>
              </w:rPr>
            </w:pPr>
            <w:r w:rsidRPr="00DC48DE">
              <w:rPr>
                <w:sz w:val="20"/>
                <w:lang w:eastAsia="ru-RU"/>
              </w:rPr>
              <w:t>0,76</w:t>
            </w:r>
          </w:p>
        </w:tc>
      </w:tr>
    </w:tbl>
    <w:p w:rsidR="00923279" w:rsidRPr="00DC48DE" w:rsidRDefault="00923279" w:rsidP="00923279">
      <w:pPr>
        <w:spacing w:line="240" w:lineRule="auto"/>
        <w:rPr>
          <w:sz w:val="20"/>
          <w:lang w:eastAsia="ru-RU"/>
        </w:rPr>
      </w:pPr>
    </w:p>
    <w:p w:rsidR="00923279" w:rsidRDefault="00923279" w:rsidP="00923279">
      <w:pPr>
        <w:ind w:firstLine="709"/>
        <w:rPr>
          <w:lang w:eastAsia="ru-RU"/>
        </w:rPr>
      </w:pPr>
    </w:p>
    <w:p w:rsidR="00923279" w:rsidRDefault="00923279" w:rsidP="00923279">
      <w:pPr>
        <w:ind w:firstLine="709"/>
        <w:rPr>
          <w:lang w:eastAsia="ru-RU"/>
        </w:rPr>
      </w:pPr>
      <w:r>
        <w:rPr>
          <w:lang w:eastAsia="ru-RU"/>
        </w:rPr>
        <w:t>Согласно представленным данным уровень занятости населения с 2009 года по конец 2018 года имеет положительную тенденцию, что отражает средний темп прироста занятости в экономики РФ.</w:t>
      </w:r>
    </w:p>
    <w:p w:rsidR="00923279" w:rsidRPr="00E16D95" w:rsidRDefault="00923279" w:rsidP="00923279">
      <w:pPr>
        <w:ind w:firstLine="709"/>
      </w:pPr>
      <w:r w:rsidRPr="00E16D95">
        <w:rPr>
          <w:lang w:eastAsia="ru-RU"/>
        </w:rPr>
        <w:t xml:space="preserve">По оценке Минэкономразвития, темп роста номинальных заработных плат в социальном секторе в ноябре превысил 13% в годовом выражении по сравнению с 8,4% по экономике в целом. В результате в ноябре рост реальных заработных плат достиг максимального за год темпа 5,8% в годовом исчислении (по предварительной оценке, в декабре последовало замедление до 4,6%). </w:t>
      </w:r>
      <w:r w:rsidRPr="00E16D95">
        <w:t xml:space="preserve">Дифференциация уровней производительности труда в отраслях естественных монополий наглядно видна на рисунке </w:t>
      </w:r>
      <w:r>
        <w:t>5</w:t>
      </w:r>
      <w:r w:rsidRPr="00E16D95">
        <w:t>.</w:t>
      </w:r>
    </w:p>
    <w:p w:rsidR="00923279" w:rsidRPr="00E16D95" w:rsidRDefault="00923279" w:rsidP="00923279">
      <w:pPr>
        <w:ind w:firstLine="709"/>
      </w:pPr>
      <w:r w:rsidRPr="00E16D95">
        <w:rPr>
          <w:noProof/>
          <w:lang w:eastAsia="ru-RU"/>
        </w:rPr>
        <w:lastRenderedPageBreak/>
        <w:drawing>
          <wp:inline distT="0" distB="0" distL="0" distR="0" wp14:anchorId="47E4A106" wp14:editId="29024C88">
            <wp:extent cx="5486400" cy="3784600"/>
            <wp:effectExtent l="19050" t="0" r="19050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23279" w:rsidRPr="00E16D95" w:rsidRDefault="00923279" w:rsidP="00923279">
      <w:pPr>
        <w:ind w:firstLine="709"/>
      </w:pPr>
      <w:r w:rsidRPr="00E16D95">
        <w:t>Рис</w:t>
      </w:r>
      <w:r>
        <w:t>унок 5</w:t>
      </w:r>
      <w:r w:rsidRPr="00E16D95">
        <w:t xml:space="preserve"> - Уровни производительности труда в отраслях естественных монополий в 201</w:t>
      </w:r>
      <w:r>
        <w:t>9</w:t>
      </w:r>
      <w:r w:rsidRPr="00E16D95">
        <w:t xml:space="preserve"> году, руб. </w:t>
      </w:r>
      <w:proofErr w:type="gramStart"/>
      <w:r w:rsidRPr="00E16D95">
        <w:t>на</w:t>
      </w:r>
      <w:proofErr w:type="gramEnd"/>
      <w:r w:rsidRPr="00E16D95">
        <w:t xml:space="preserve"> </w:t>
      </w:r>
      <w:proofErr w:type="gramStart"/>
      <w:r w:rsidRPr="00E16D95">
        <w:t>чел</w:t>
      </w:r>
      <w:proofErr w:type="gramEnd"/>
      <w:r w:rsidRPr="00E16D95">
        <w:t>.</w:t>
      </w:r>
      <w:r>
        <w:t xml:space="preserve"> (1 полугодие)</w:t>
      </w:r>
    </w:p>
    <w:p w:rsidR="00923279" w:rsidRPr="00E16D95" w:rsidRDefault="00923279" w:rsidP="00923279">
      <w:pPr>
        <w:ind w:firstLine="709"/>
        <w:rPr>
          <w:i/>
          <w:szCs w:val="28"/>
        </w:rPr>
      </w:pPr>
      <w:r w:rsidRPr="00E16D95">
        <w:rPr>
          <w:i/>
          <w:szCs w:val="28"/>
        </w:rPr>
        <w:t>Источник: построено автором за данными Росстата</w:t>
      </w:r>
    </w:p>
    <w:p w:rsidR="00923279" w:rsidRPr="00E16D95" w:rsidRDefault="00923279" w:rsidP="00923279">
      <w:pPr>
        <w:ind w:firstLine="709"/>
      </w:pPr>
      <w:r w:rsidRPr="00E16D95">
        <w:t>Данные Росстата позволяют сопоставить уровни производительности труда в отраслях естественных монополий и сделать вывод об их значительной дифференциации. Наиболее высокий уровень производительности труда в 2017 году зафиксирован в отрасли «Транспортировка нефти и нефтепродуктов по магистральным трубопроводам», минимальный — в отрасли «Услуги общедоступной почтовой связи». При проведении анализа индексы производительности труда сопоставлялись с иными экономическими показателями, характеризующими развитие отрасли в анализируемом периоде:</w:t>
      </w:r>
    </w:p>
    <w:p w:rsidR="00923279" w:rsidRPr="00E16D95" w:rsidRDefault="00923279" w:rsidP="00923279">
      <w:pPr>
        <w:numPr>
          <w:ilvl w:val="0"/>
          <w:numId w:val="10"/>
        </w:numPr>
        <w:ind w:left="0" w:firstLine="709"/>
        <w:contextualSpacing/>
      </w:pPr>
      <w:r w:rsidRPr="00E16D95">
        <w:t xml:space="preserve">индекс роста среднемесячной заработной платы, </w:t>
      </w:r>
      <w:proofErr w:type="gramStart"/>
      <w:r w:rsidRPr="00E16D95">
        <w:t>в</w:t>
      </w:r>
      <w:proofErr w:type="gramEnd"/>
      <w:r w:rsidRPr="00E16D95">
        <w:t xml:space="preserve"> % </w:t>
      </w:r>
      <w:proofErr w:type="gramStart"/>
      <w:r w:rsidRPr="00E16D95">
        <w:t>к</w:t>
      </w:r>
      <w:proofErr w:type="gramEnd"/>
      <w:r w:rsidRPr="00E16D95">
        <w:t xml:space="preserve"> предыдущему году;</w:t>
      </w:r>
    </w:p>
    <w:p w:rsidR="00923279" w:rsidRPr="00E16D95" w:rsidRDefault="00923279" w:rsidP="00923279">
      <w:pPr>
        <w:numPr>
          <w:ilvl w:val="0"/>
          <w:numId w:val="10"/>
        </w:numPr>
        <w:ind w:left="0" w:firstLine="709"/>
        <w:contextualSpacing/>
      </w:pPr>
      <w:r w:rsidRPr="00E16D95">
        <w:t xml:space="preserve">индекс изменения показателя «Отгружено товаров собственного производства, выполнено работ собственными силами», </w:t>
      </w:r>
      <w:proofErr w:type="gramStart"/>
      <w:r w:rsidRPr="00E16D95">
        <w:t>в</w:t>
      </w:r>
      <w:proofErr w:type="gramEnd"/>
      <w:r w:rsidRPr="00E16D95">
        <w:t xml:space="preserve"> % </w:t>
      </w:r>
      <w:proofErr w:type="gramStart"/>
      <w:r w:rsidRPr="00E16D95">
        <w:t>к</w:t>
      </w:r>
      <w:proofErr w:type="gramEnd"/>
      <w:r w:rsidRPr="00E16D95">
        <w:t xml:space="preserve"> предыдущему году;</w:t>
      </w:r>
    </w:p>
    <w:p w:rsidR="00923279" w:rsidRPr="00E16D95" w:rsidRDefault="00923279" w:rsidP="00923279">
      <w:pPr>
        <w:numPr>
          <w:ilvl w:val="0"/>
          <w:numId w:val="10"/>
        </w:numPr>
        <w:ind w:left="0" w:firstLine="709"/>
        <w:contextualSpacing/>
      </w:pPr>
      <w:r w:rsidRPr="00E16D95">
        <w:lastRenderedPageBreak/>
        <w:t xml:space="preserve">индекс изменения тарифов на грузовые перевозки трубопроводным транспортом, </w:t>
      </w:r>
      <w:proofErr w:type="gramStart"/>
      <w:r w:rsidRPr="00E16D95">
        <w:t>в</w:t>
      </w:r>
      <w:proofErr w:type="gramEnd"/>
      <w:r w:rsidRPr="00E16D95">
        <w:t xml:space="preserve"> % </w:t>
      </w:r>
      <w:proofErr w:type="gramStart"/>
      <w:r w:rsidRPr="00E16D95">
        <w:t>к</w:t>
      </w:r>
      <w:proofErr w:type="gramEnd"/>
      <w:r w:rsidRPr="00E16D95">
        <w:t xml:space="preserve"> предыдущему году;</w:t>
      </w:r>
    </w:p>
    <w:p w:rsidR="00923279" w:rsidRPr="00E16D95" w:rsidRDefault="00923279" w:rsidP="00923279">
      <w:pPr>
        <w:numPr>
          <w:ilvl w:val="0"/>
          <w:numId w:val="10"/>
        </w:numPr>
        <w:ind w:left="0" w:firstLine="709"/>
        <w:contextualSpacing/>
      </w:pPr>
      <w:r w:rsidRPr="00E16D95">
        <w:t xml:space="preserve">индекс изменения среднесписочной численности работников, </w:t>
      </w:r>
      <w:proofErr w:type="gramStart"/>
      <w:r w:rsidRPr="00E16D95">
        <w:t>в</w:t>
      </w:r>
      <w:proofErr w:type="gramEnd"/>
      <w:r w:rsidRPr="00E16D95">
        <w:t xml:space="preserve"> % </w:t>
      </w:r>
      <w:proofErr w:type="gramStart"/>
      <w:r w:rsidRPr="00E16D95">
        <w:t>к</w:t>
      </w:r>
      <w:proofErr w:type="gramEnd"/>
      <w:r w:rsidRPr="00E16D95">
        <w:t xml:space="preserve"> предыдущему году.</w:t>
      </w:r>
    </w:p>
    <w:p w:rsidR="00923279" w:rsidRPr="00E16D95" w:rsidRDefault="00923279" w:rsidP="00923279">
      <w:pPr>
        <w:ind w:firstLine="709"/>
      </w:pPr>
      <w:r w:rsidRPr="00E16D95">
        <w:t>Представление анализируемых показателей в графическом виде показывает, что динамика индекса производительности труда в отрасли «Транспортировка нефти и нефтепродуктов по магистральным трубопроводам» связана со всеми анализируемыми показателями (Рис.</w:t>
      </w:r>
      <w:r>
        <w:t>4</w:t>
      </w:r>
      <w:r w:rsidRPr="00E16D95">
        <w:t>).</w:t>
      </w:r>
    </w:p>
    <w:p w:rsidR="00923279" w:rsidRPr="00E16D95" w:rsidRDefault="00923279" w:rsidP="00923279">
      <w:pPr>
        <w:ind w:firstLine="709"/>
      </w:pPr>
      <w:r w:rsidRPr="00E16D95">
        <w:rPr>
          <w:noProof/>
          <w:lang w:eastAsia="ru-RU"/>
        </w:rPr>
        <w:drawing>
          <wp:inline distT="0" distB="0" distL="0" distR="0" wp14:anchorId="4A0EA92F" wp14:editId="2F7D4B90">
            <wp:extent cx="5486400" cy="32480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23279" w:rsidRPr="00E16D95" w:rsidRDefault="00923279" w:rsidP="00923279">
      <w:pPr>
        <w:ind w:firstLine="709"/>
        <w:jc w:val="center"/>
      </w:pPr>
      <w:r>
        <w:t xml:space="preserve">Рисунок 6 </w:t>
      </w:r>
      <w:r w:rsidRPr="00E16D95">
        <w:t xml:space="preserve"> - Динамика </w:t>
      </w:r>
      <w:r>
        <w:t>производительности труда и занятости в экономики РФ</w:t>
      </w:r>
    </w:p>
    <w:p w:rsidR="00923279" w:rsidRPr="00E16D95" w:rsidRDefault="00923279" w:rsidP="00923279">
      <w:pPr>
        <w:ind w:firstLine="709"/>
        <w:rPr>
          <w:i/>
          <w:szCs w:val="28"/>
        </w:rPr>
      </w:pPr>
      <w:r w:rsidRPr="00E16D95">
        <w:rPr>
          <w:i/>
          <w:szCs w:val="28"/>
        </w:rPr>
        <w:t>Источник: построено автором за данными Росстата</w:t>
      </w:r>
    </w:p>
    <w:p w:rsidR="00923279" w:rsidRDefault="00923279" w:rsidP="00923279">
      <w:pPr>
        <w:ind w:firstLine="709"/>
      </w:pPr>
    </w:p>
    <w:p w:rsidR="00923279" w:rsidRDefault="00923279" w:rsidP="00923279">
      <w:pPr>
        <w:ind w:firstLine="709"/>
      </w:pPr>
      <w:r w:rsidRPr="00F76E15">
        <w:t>Росстат не рассчитывает показатель «Уровень производительности труда» в разрезе субъектов Российской Федерации, ограничиваясь расчетами индекса производительности труда.</w:t>
      </w:r>
      <w:r>
        <w:t xml:space="preserve"> </w:t>
      </w:r>
      <w:r w:rsidRPr="00F76E15">
        <w:t xml:space="preserve">Согласно данным Росстата, индекс производительности труда дифференцируется в разрезе субъектов Российской Федерации. Так, например, его максимальное значение в 2015 году зафиксировано в Тамбовской и Тульской областях (107% и 106,6% соответственно), минимальное значение — в Волгоградской области (94,7%), в </w:t>
      </w:r>
      <w:r w:rsidRPr="00F76E15">
        <w:lastRenderedPageBreak/>
        <w:t xml:space="preserve">Калужской области (96%), в Карачаево-Черкесской Республике, Омской области, </w:t>
      </w:r>
      <w:proofErr w:type="gramStart"/>
      <w:r w:rsidRPr="00F76E15">
        <w:t>в</w:t>
      </w:r>
      <w:proofErr w:type="gramEnd"/>
      <w:r w:rsidRPr="00F76E15">
        <w:t xml:space="preserve"> </w:t>
      </w:r>
      <w:proofErr w:type="gramStart"/>
      <w:r w:rsidRPr="00F76E15">
        <w:t>Хабаровском</w:t>
      </w:r>
      <w:proofErr w:type="gramEnd"/>
      <w:r w:rsidRPr="00F76E15">
        <w:t xml:space="preserve"> крае (97,6–97,7%).</w:t>
      </w:r>
    </w:p>
    <w:p w:rsidR="00923279" w:rsidRPr="00F76E15" w:rsidRDefault="00923279" w:rsidP="00923279">
      <w:pPr>
        <w:ind w:firstLine="709"/>
      </w:pPr>
      <w:proofErr w:type="gramStart"/>
      <w:r w:rsidRPr="00F76E15">
        <w:rPr>
          <w:shd w:val="clear" w:color="auto" w:fill="FFFFFF"/>
        </w:rPr>
        <w:t xml:space="preserve">Таблица </w:t>
      </w:r>
      <w:r>
        <w:rPr>
          <w:shd w:val="clear" w:color="auto" w:fill="FFFFFF"/>
        </w:rPr>
        <w:t xml:space="preserve">6– </w:t>
      </w:r>
      <w:r w:rsidRPr="00F76E15">
        <w:rPr>
          <w:shd w:val="clear" w:color="auto" w:fill="FFFFFF"/>
        </w:rPr>
        <w:t>Динамика производительности труда по федеральным округам РФ тыс. руб.)</w:t>
      </w:r>
      <w:proofErr w:type="gramEnd"/>
    </w:p>
    <w:tbl>
      <w:tblPr>
        <w:tblW w:w="928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520"/>
        <w:gridCol w:w="960"/>
        <w:gridCol w:w="960"/>
        <w:gridCol w:w="960"/>
        <w:gridCol w:w="960"/>
        <w:gridCol w:w="960"/>
        <w:gridCol w:w="960"/>
      </w:tblGrid>
      <w:tr w:rsidR="00923279" w:rsidRPr="00F76E15" w:rsidTr="00923279">
        <w:trPr>
          <w:trHeight w:val="31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2005 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2010 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2016 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2017 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2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2018г</w:t>
            </w:r>
          </w:p>
        </w:tc>
      </w:tr>
      <w:tr w:rsidR="00923279" w:rsidRPr="00F76E15" w:rsidTr="009232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894,7</w:t>
            </w:r>
          </w:p>
        </w:tc>
      </w:tr>
      <w:tr w:rsidR="00923279" w:rsidRPr="00F76E15" w:rsidTr="00923279">
        <w:trPr>
          <w:trHeight w:val="141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Центральный федеральный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1094,7</w:t>
            </w:r>
          </w:p>
        </w:tc>
      </w:tr>
      <w:tr w:rsidR="00923279" w:rsidRPr="00F76E15" w:rsidTr="00923279">
        <w:trPr>
          <w:trHeight w:val="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Северо-Западный федеральный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889,7</w:t>
            </w:r>
          </w:p>
        </w:tc>
      </w:tr>
      <w:tr w:rsidR="00923279" w:rsidRPr="00F76E15" w:rsidTr="00923279">
        <w:trPr>
          <w:trHeight w:val="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Южный федеральный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773,7</w:t>
            </w:r>
          </w:p>
        </w:tc>
      </w:tr>
      <w:tr w:rsidR="00923279" w:rsidRPr="00F76E15" w:rsidTr="00923279">
        <w:trPr>
          <w:trHeight w:val="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Северо-Кавказский федеральный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505,8</w:t>
            </w:r>
          </w:p>
        </w:tc>
      </w:tr>
      <w:tr w:rsidR="00923279" w:rsidRPr="00F76E15" w:rsidTr="00923279">
        <w:trPr>
          <w:trHeight w:val="24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Приволжский федеральный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666,4</w:t>
            </w:r>
          </w:p>
        </w:tc>
      </w:tr>
      <w:tr w:rsidR="00923279" w:rsidRPr="00F76E15" w:rsidTr="009232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Уральский федеральный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1815,2</w:t>
            </w:r>
          </w:p>
        </w:tc>
      </w:tr>
      <w:tr w:rsidR="00923279" w:rsidRPr="00F76E15" w:rsidTr="00923279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Сибирский федеральный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739,3</w:t>
            </w:r>
          </w:p>
        </w:tc>
      </w:tr>
      <w:tr w:rsidR="00923279" w:rsidRPr="00F76E15" w:rsidTr="00923279">
        <w:trPr>
          <w:trHeight w:val="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79" w:rsidRPr="00F76E15" w:rsidRDefault="00923279" w:rsidP="0092327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E1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1117,8</w:t>
            </w:r>
          </w:p>
        </w:tc>
      </w:tr>
    </w:tbl>
    <w:p w:rsidR="00923279" w:rsidRPr="00F76E15" w:rsidRDefault="00923279" w:rsidP="00923279">
      <w:pPr>
        <w:spacing w:line="240" w:lineRule="auto"/>
        <w:ind w:firstLine="709"/>
        <w:rPr>
          <w:sz w:val="20"/>
          <w:szCs w:val="28"/>
        </w:rPr>
      </w:pPr>
    </w:p>
    <w:p w:rsidR="00923279" w:rsidRPr="00F76E15" w:rsidRDefault="00923279" w:rsidP="00923279">
      <w:pPr>
        <w:ind w:firstLine="709"/>
        <w:rPr>
          <w:i/>
          <w:szCs w:val="28"/>
        </w:rPr>
      </w:pPr>
      <w:r w:rsidRPr="00F76E15">
        <w:rPr>
          <w:i/>
          <w:szCs w:val="28"/>
        </w:rPr>
        <w:t>Источник: построено автором за данными Росстата</w:t>
      </w:r>
    </w:p>
    <w:p w:rsidR="00923279" w:rsidRDefault="00923279" w:rsidP="00923279">
      <w:pPr>
        <w:ind w:firstLine="709"/>
      </w:pPr>
      <w:r>
        <w:t>Динамика изменения индекса производительности труда в регионах Российской Федерации в динамике 2005-2018 гг. была весьма нестабильной. Если в большинстве субъектов Российской Федерации в 2009 году, в период мирового финансового кризиса, произошло значительное снижение индекса производительности труда, то в других регионах (Республика Коми, республики Северного Кавказа) произошло снижение этого показателя.</w:t>
      </w:r>
    </w:p>
    <w:p w:rsidR="00923279" w:rsidRPr="00A85AA6" w:rsidRDefault="00923279" w:rsidP="00923279">
      <w:pPr>
        <w:ind w:firstLine="709"/>
        <w:rPr>
          <w:rFonts w:eastAsia="Times New Roman" w:cs="Times New Roman"/>
          <w:szCs w:val="28"/>
        </w:rPr>
      </w:pPr>
      <w:r w:rsidRPr="00A85AA6">
        <w:rPr>
          <w:rFonts w:eastAsia="Times New Roman" w:cs="Times New Roman"/>
          <w:szCs w:val="28"/>
        </w:rPr>
        <w:t xml:space="preserve">Планируется, что </w:t>
      </w:r>
      <w:r>
        <w:rPr>
          <w:rFonts w:eastAsia="Times New Roman" w:cs="Times New Roman"/>
          <w:szCs w:val="28"/>
        </w:rPr>
        <w:t xml:space="preserve">программа </w:t>
      </w:r>
      <w:r w:rsidRPr="00A85AA6">
        <w:rPr>
          <w:rFonts w:eastAsia="Times New Roman" w:cs="Times New Roman"/>
          <w:szCs w:val="28"/>
        </w:rPr>
        <w:t xml:space="preserve"> затронет 10 тыс. организаций в 85 регионах РФ, а мерами поддержки воспользуются 4,8 тыс. предприятий. На сегодняшний день более 500 заводов из 36 регионов Российской Федерации совершенствуют технологические процессы в рамках национального проекта.</w:t>
      </w:r>
      <w:r>
        <w:rPr>
          <w:rFonts w:eastAsia="Times New Roman" w:cs="Times New Roman"/>
          <w:szCs w:val="28"/>
        </w:rPr>
        <w:t xml:space="preserve"> </w:t>
      </w:r>
      <w:r w:rsidRPr="00A85AA6">
        <w:rPr>
          <w:rFonts w:eastAsia="Times New Roman" w:cs="Times New Roman"/>
          <w:szCs w:val="28"/>
        </w:rPr>
        <w:t xml:space="preserve">Основной целью проекта было стимулирование роста эффективности деятельности предприятий, снятие излишних административных барьеров и развитие экспортного потенциала. Для выполнения этой работы было проведено формирование и обучение управленческого персонала бухты (всего планируется обучение почти 200 тыс. человек), а также создана система </w:t>
      </w:r>
      <w:proofErr w:type="spellStart"/>
      <w:r w:rsidRPr="00A85AA6">
        <w:rPr>
          <w:rFonts w:eastAsia="Times New Roman" w:cs="Times New Roman"/>
          <w:szCs w:val="28"/>
        </w:rPr>
        <w:t>грантовой</w:t>
      </w:r>
      <w:proofErr w:type="spellEnd"/>
      <w:r w:rsidRPr="00A85AA6">
        <w:rPr>
          <w:rFonts w:eastAsia="Times New Roman" w:cs="Times New Roman"/>
          <w:szCs w:val="28"/>
        </w:rPr>
        <w:t xml:space="preserve"> поддержки, модернизированы работы, услуги.</w:t>
      </w:r>
    </w:p>
    <w:p w:rsidR="00923279" w:rsidRPr="00A85AA6" w:rsidRDefault="00923279" w:rsidP="00923279">
      <w:pPr>
        <w:ind w:firstLine="709"/>
        <w:rPr>
          <w:rFonts w:eastAsia="Times New Roman" w:cs="Times New Roman"/>
          <w:szCs w:val="28"/>
        </w:rPr>
      </w:pPr>
      <w:r w:rsidRPr="00A85AA6">
        <w:rPr>
          <w:rFonts w:eastAsia="Times New Roman" w:cs="Times New Roman"/>
          <w:szCs w:val="28"/>
        </w:rPr>
        <w:t xml:space="preserve">В результате к 2024 году власти планируют ежегодно на 5% повышать производительность труда средних и крупных предприятий в </w:t>
      </w:r>
      <w:proofErr w:type="spellStart"/>
      <w:r w:rsidRPr="00A85AA6">
        <w:rPr>
          <w:rFonts w:eastAsia="Times New Roman" w:cs="Times New Roman"/>
          <w:szCs w:val="28"/>
        </w:rPr>
        <w:t>несырьевом</w:t>
      </w:r>
      <w:proofErr w:type="spellEnd"/>
      <w:r w:rsidRPr="00A85AA6">
        <w:rPr>
          <w:rFonts w:eastAsia="Times New Roman" w:cs="Times New Roman"/>
          <w:szCs w:val="28"/>
        </w:rPr>
        <w:t xml:space="preserve"> </w:t>
      </w:r>
      <w:r w:rsidRPr="00A85AA6">
        <w:rPr>
          <w:rFonts w:eastAsia="Times New Roman" w:cs="Times New Roman"/>
          <w:szCs w:val="28"/>
        </w:rPr>
        <w:lastRenderedPageBreak/>
        <w:t xml:space="preserve">секторе экономики. Сегодня этот показатель составляет 1,4%. Общий объем финансирования </w:t>
      </w:r>
      <w:r w:rsidR="00825E66">
        <w:rPr>
          <w:rFonts w:eastAsia="Times New Roman" w:cs="Times New Roman"/>
          <w:szCs w:val="28"/>
        </w:rPr>
        <w:t xml:space="preserve">государственной программы </w:t>
      </w:r>
      <w:r w:rsidRPr="00A85AA6">
        <w:rPr>
          <w:rFonts w:eastAsia="Times New Roman" w:cs="Times New Roman"/>
          <w:szCs w:val="28"/>
        </w:rPr>
        <w:t xml:space="preserve"> вырастет до 52,1 млн</w:t>
      </w:r>
      <w:r>
        <w:rPr>
          <w:rFonts w:eastAsia="Times New Roman" w:cs="Times New Roman"/>
          <w:szCs w:val="28"/>
        </w:rPr>
        <w:t>.</w:t>
      </w:r>
      <w:r w:rsidRPr="00A85AA6">
        <w:rPr>
          <w:rFonts w:eastAsia="Times New Roman" w:cs="Times New Roman"/>
          <w:szCs w:val="28"/>
        </w:rPr>
        <w:t xml:space="preserve"> рублей, из которых 45,7 млрд</w:t>
      </w:r>
      <w:r>
        <w:rPr>
          <w:rFonts w:eastAsia="Times New Roman" w:cs="Times New Roman"/>
          <w:szCs w:val="28"/>
        </w:rPr>
        <w:t>.</w:t>
      </w:r>
      <w:r w:rsidRPr="00A85AA6">
        <w:rPr>
          <w:rFonts w:eastAsia="Times New Roman" w:cs="Times New Roman"/>
          <w:szCs w:val="28"/>
        </w:rPr>
        <w:t xml:space="preserve"> будет направлено в федеральную казну, 5,6 млрд</w:t>
      </w:r>
      <w:r>
        <w:rPr>
          <w:rFonts w:eastAsia="Times New Roman" w:cs="Times New Roman"/>
          <w:szCs w:val="28"/>
        </w:rPr>
        <w:t>.</w:t>
      </w:r>
      <w:r w:rsidRPr="00A85AA6">
        <w:rPr>
          <w:rFonts w:eastAsia="Times New Roman" w:cs="Times New Roman"/>
          <w:szCs w:val="28"/>
        </w:rPr>
        <w:t xml:space="preserve"> поступят из внебюджетных источников, 800 млн-из бюджетов субъектов Российской Федерации.</w:t>
      </w:r>
      <w:r>
        <w:rPr>
          <w:rFonts w:eastAsia="Times New Roman" w:cs="Times New Roman"/>
          <w:szCs w:val="28"/>
        </w:rPr>
        <w:t xml:space="preserve"> </w:t>
      </w:r>
      <w:r w:rsidRPr="00A85AA6">
        <w:rPr>
          <w:rFonts w:eastAsia="Times New Roman" w:cs="Times New Roman"/>
          <w:szCs w:val="28"/>
        </w:rPr>
        <w:t>Исследование, проведенное Институтом "</w:t>
      </w:r>
      <w:proofErr w:type="spellStart"/>
      <w:r w:rsidRPr="00A85AA6">
        <w:rPr>
          <w:rFonts w:eastAsia="Times New Roman" w:cs="Times New Roman"/>
          <w:szCs w:val="28"/>
        </w:rPr>
        <w:t>ФедералПресс</w:t>
      </w:r>
      <w:proofErr w:type="spellEnd"/>
      <w:r w:rsidRPr="00A85AA6">
        <w:rPr>
          <w:rFonts w:eastAsia="Times New Roman" w:cs="Times New Roman"/>
          <w:szCs w:val="28"/>
        </w:rPr>
        <w:t>" в Приволжском федеральном округе, показало, что далеко не все участники национальных проектов хотят тратить свой бюджет на решение поставленных перед ними задач. Пока регионы получили больше, чем вложили.</w:t>
      </w:r>
    </w:p>
    <w:p w:rsidR="00923279" w:rsidRPr="00A85AA6" w:rsidRDefault="00923279" w:rsidP="00923279">
      <w:pPr>
        <w:ind w:firstLine="709"/>
        <w:rPr>
          <w:rFonts w:eastAsia="Times New Roman" w:cs="Times New Roman"/>
          <w:szCs w:val="28"/>
        </w:rPr>
      </w:pPr>
      <w:r w:rsidRPr="00A85AA6">
        <w:rPr>
          <w:rFonts w:eastAsia="Times New Roman" w:cs="Times New Roman"/>
          <w:szCs w:val="28"/>
        </w:rPr>
        <w:t xml:space="preserve">Так, в ПФО республика Башкортостан получит больше всего денег из федерального бюджета на реализацию </w:t>
      </w:r>
      <w:r w:rsidR="00825E66">
        <w:rPr>
          <w:rFonts w:eastAsia="Times New Roman" w:cs="Times New Roman"/>
          <w:szCs w:val="28"/>
        </w:rPr>
        <w:t xml:space="preserve">государственной программы </w:t>
      </w:r>
      <w:r w:rsidRPr="00A85AA6">
        <w:rPr>
          <w:rFonts w:eastAsia="Times New Roman" w:cs="Times New Roman"/>
          <w:szCs w:val="28"/>
        </w:rPr>
        <w:t>-1,106 млрд</w:t>
      </w:r>
      <w:r>
        <w:rPr>
          <w:rFonts w:eastAsia="Times New Roman" w:cs="Times New Roman"/>
          <w:szCs w:val="28"/>
        </w:rPr>
        <w:t>.</w:t>
      </w:r>
      <w:r w:rsidRPr="00A85AA6">
        <w:rPr>
          <w:rFonts w:eastAsia="Times New Roman" w:cs="Times New Roman"/>
          <w:szCs w:val="28"/>
        </w:rPr>
        <w:t xml:space="preserve"> рублей. При этом регион планирует выделить из своих средств только 150,4 млн</w:t>
      </w:r>
      <w:r>
        <w:rPr>
          <w:rFonts w:eastAsia="Times New Roman" w:cs="Times New Roman"/>
          <w:szCs w:val="28"/>
        </w:rPr>
        <w:t>.</w:t>
      </w:r>
      <w:r w:rsidRPr="00A85AA6">
        <w:rPr>
          <w:rFonts w:eastAsia="Times New Roman" w:cs="Times New Roman"/>
          <w:szCs w:val="28"/>
        </w:rPr>
        <w:t xml:space="preserve"> рублей. В проекте паспорта ничего не говорится о дополнительных источниках финансирования. И это довольно богатый регион, основным источником доходов которого является нефтепереработка. По темпам роста Ас входит в пятерку лидеров среди регионов России. Здесь большая доля прибыльных предприятий, республика имеет положительное сальдо внешнеторгового оборота.</w:t>
      </w:r>
    </w:p>
    <w:p w:rsidR="00923279" w:rsidRPr="00A85AA6" w:rsidRDefault="00923279" w:rsidP="00923279">
      <w:pPr>
        <w:ind w:firstLine="709"/>
        <w:rPr>
          <w:rFonts w:eastAsia="Times New Roman" w:cs="Times New Roman"/>
          <w:szCs w:val="28"/>
        </w:rPr>
      </w:pPr>
      <w:r w:rsidRPr="00A85AA6">
        <w:rPr>
          <w:rFonts w:eastAsia="Times New Roman" w:cs="Times New Roman"/>
          <w:szCs w:val="28"/>
        </w:rPr>
        <w:t>Чуть более скромные аппетиты у Самарской области. Регион получит 209,116 млн</w:t>
      </w:r>
      <w:r>
        <w:rPr>
          <w:rFonts w:eastAsia="Times New Roman" w:cs="Times New Roman"/>
          <w:szCs w:val="28"/>
        </w:rPr>
        <w:t>.</w:t>
      </w:r>
      <w:r w:rsidRPr="00A85AA6">
        <w:rPr>
          <w:rFonts w:eastAsia="Times New Roman" w:cs="Times New Roman"/>
          <w:szCs w:val="28"/>
        </w:rPr>
        <w:t xml:space="preserve"> рублей, а вложено будет всего 11 млн</w:t>
      </w:r>
      <w:r>
        <w:rPr>
          <w:rFonts w:eastAsia="Times New Roman" w:cs="Times New Roman"/>
          <w:szCs w:val="28"/>
        </w:rPr>
        <w:t>.</w:t>
      </w:r>
      <w:r w:rsidRPr="00A85AA6">
        <w:rPr>
          <w:rFonts w:eastAsia="Times New Roman" w:cs="Times New Roman"/>
          <w:szCs w:val="28"/>
        </w:rPr>
        <w:t xml:space="preserve"> рублей. Он также экономически стабилен в регионе, последние два года бюджет региона остается </w:t>
      </w:r>
      <w:proofErr w:type="spellStart"/>
      <w:r w:rsidRPr="00A85AA6">
        <w:rPr>
          <w:rFonts w:eastAsia="Times New Roman" w:cs="Times New Roman"/>
          <w:szCs w:val="28"/>
        </w:rPr>
        <w:t>профицитным</w:t>
      </w:r>
      <w:proofErr w:type="spellEnd"/>
      <w:r w:rsidRPr="00A85AA6">
        <w:rPr>
          <w:rFonts w:eastAsia="Times New Roman" w:cs="Times New Roman"/>
          <w:szCs w:val="28"/>
        </w:rPr>
        <w:t>. За 2018 год оборот организаций Самарской области превысил прошлогодний на 11% и составил 3,3 млрд</w:t>
      </w:r>
      <w:r>
        <w:rPr>
          <w:rFonts w:eastAsia="Times New Roman" w:cs="Times New Roman"/>
          <w:szCs w:val="28"/>
        </w:rPr>
        <w:t>.</w:t>
      </w:r>
      <w:r w:rsidRPr="00A85AA6">
        <w:rPr>
          <w:rFonts w:eastAsia="Times New Roman" w:cs="Times New Roman"/>
          <w:szCs w:val="28"/>
        </w:rPr>
        <w:t xml:space="preserve"> рублей.</w:t>
      </w:r>
    </w:p>
    <w:p w:rsidR="00923279" w:rsidRPr="00A85AA6" w:rsidRDefault="00923279" w:rsidP="00923279">
      <w:pPr>
        <w:ind w:firstLine="709"/>
        <w:rPr>
          <w:rFonts w:eastAsia="Times New Roman" w:cs="Times New Roman"/>
          <w:szCs w:val="28"/>
        </w:rPr>
      </w:pPr>
      <w:r w:rsidRPr="00A85AA6">
        <w:rPr>
          <w:rFonts w:eastAsia="Times New Roman" w:cs="Times New Roman"/>
          <w:szCs w:val="28"/>
        </w:rPr>
        <w:t>Республика Чувашия потратит на реализацию национальных проектов 10,8 млн</w:t>
      </w:r>
      <w:r>
        <w:rPr>
          <w:rFonts w:eastAsia="Times New Roman" w:cs="Times New Roman"/>
          <w:szCs w:val="28"/>
        </w:rPr>
        <w:t>.</w:t>
      </w:r>
      <w:r w:rsidRPr="00A85AA6">
        <w:rPr>
          <w:rFonts w:eastAsia="Times New Roman" w:cs="Times New Roman"/>
          <w:szCs w:val="28"/>
        </w:rPr>
        <w:t xml:space="preserve"> рублей, а в российский бюджет на эти цели поступит 181,2 </w:t>
      </w:r>
      <w:proofErr w:type="gramStart"/>
      <w:r w:rsidRPr="00A85AA6">
        <w:rPr>
          <w:rFonts w:eastAsia="Times New Roman" w:cs="Times New Roman"/>
          <w:szCs w:val="28"/>
        </w:rPr>
        <w:t>млн</w:t>
      </w:r>
      <w:proofErr w:type="gramEnd"/>
      <w:r w:rsidRPr="00A85AA6">
        <w:rPr>
          <w:rFonts w:eastAsia="Times New Roman" w:cs="Times New Roman"/>
          <w:szCs w:val="28"/>
        </w:rPr>
        <w:t xml:space="preserve"> рублей. Столь низкий объем собственных инвестиций в проект можно объяснить общим состоянием экономики региона. Республика не может похвастаться значительными успехами в экономической сфере, уровнем развития ранжирования между средним классом и аутсайдерами среди регионов Российской Федерации. </w:t>
      </w:r>
      <w:proofErr w:type="gramStart"/>
      <w:r w:rsidRPr="00A85AA6">
        <w:rPr>
          <w:rFonts w:eastAsia="Times New Roman" w:cs="Times New Roman"/>
          <w:szCs w:val="28"/>
        </w:rPr>
        <w:t>В Приволжском федеральном округе показатели только ухудшились в Пензенской и Кировской областях.</w:t>
      </w:r>
      <w:proofErr w:type="gramEnd"/>
      <w:r w:rsidRPr="00A85AA6">
        <w:rPr>
          <w:rFonts w:eastAsia="Times New Roman" w:cs="Times New Roman"/>
          <w:szCs w:val="28"/>
        </w:rPr>
        <w:t xml:space="preserve"> </w:t>
      </w:r>
      <w:r w:rsidRPr="00A85AA6">
        <w:rPr>
          <w:rFonts w:eastAsia="Times New Roman" w:cs="Times New Roman"/>
          <w:szCs w:val="28"/>
        </w:rPr>
        <w:lastRenderedPageBreak/>
        <w:t xml:space="preserve">Пензенская область готова выделить на нацпроекты только 1 </w:t>
      </w:r>
      <w:proofErr w:type="gramStart"/>
      <w:r w:rsidRPr="00A85AA6">
        <w:rPr>
          <w:rFonts w:eastAsia="Times New Roman" w:cs="Times New Roman"/>
          <w:szCs w:val="28"/>
        </w:rPr>
        <w:t>млрд</w:t>
      </w:r>
      <w:proofErr w:type="gramEnd"/>
      <w:r w:rsidRPr="00A85AA6">
        <w:rPr>
          <w:rFonts w:eastAsia="Times New Roman" w:cs="Times New Roman"/>
          <w:szCs w:val="28"/>
        </w:rPr>
        <w:t xml:space="preserve"> рублей. Однако федеральная казна не слишком щедра в регионе, регион выделит только 38,7 </w:t>
      </w:r>
      <w:proofErr w:type="gramStart"/>
      <w:r w:rsidRPr="00A85AA6">
        <w:rPr>
          <w:rFonts w:eastAsia="Times New Roman" w:cs="Times New Roman"/>
          <w:szCs w:val="28"/>
        </w:rPr>
        <w:t>млн</w:t>
      </w:r>
      <w:proofErr w:type="gramEnd"/>
      <w:r w:rsidRPr="00A85AA6">
        <w:rPr>
          <w:rFonts w:eastAsia="Times New Roman" w:cs="Times New Roman"/>
          <w:szCs w:val="28"/>
        </w:rPr>
        <w:t xml:space="preserve"> рублей.</w:t>
      </w:r>
    </w:p>
    <w:p w:rsidR="00923279" w:rsidRPr="00A85AA6" w:rsidRDefault="00923279" w:rsidP="00923279">
      <w:pPr>
        <w:ind w:firstLine="709"/>
        <w:rPr>
          <w:rFonts w:eastAsia="Times New Roman" w:cs="Times New Roman"/>
          <w:szCs w:val="28"/>
        </w:rPr>
      </w:pPr>
      <w:r w:rsidRPr="00A85AA6">
        <w:rPr>
          <w:rFonts w:eastAsia="Times New Roman" w:cs="Times New Roman"/>
          <w:szCs w:val="28"/>
        </w:rPr>
        <w:t xml:space="preserve">Саратовская область планирует инвестировать в </w:t>
      </w:r>
      <w:r w:rsidR="00825E66">
        <w:rPr>
          <w:rFonts w:eastAsia="Times New Roman" w:cs="Times New Roman"/>
          <w:szCs w:val="28"/>
        </w:rPr>
        <w:t>государственные программы</w:t>
      </w:r>
      <w:r w:rsidRPr="00A85AA6">
        <w:rPr>
          <w:rFonts w:eastAsia="Times New Roman" w:cs="Times New Roman"/>
          <w:szCs w:val="28"/>
        </w:rPr>
        <w:t xml:space="preserve"> 5,5 </w:t>
      </w:r>
      <w:proofErr w:type="gramStart"/>
      <w:r w:rsidRPr="00A85AA6">
        <w:rPr>
          <w:rFonts w:eastAsia="Times New Roman" w:cs="Times New Roman"/>
          <w:szCs w:val="28"/>
        </w:rPr>
        <w:t>млн</w:t>
      </w:r>
      <w:proofErr w:type="gramEnd"/>
      <w:r w:rsidRPr="00A85AA6">
        <w:rPr>
          <w:rFonts w:eastAsia="Times New Roman" w:cs="Times New Roman"/>
          <w:szCs w:val="28"/>
        </w:rPr>
        <w:t xml:space="preserve"> рублей до 2024 года, а Федерация получит 103,2 млрд рублей. В то же время по уровню и масштабам развития промышленного производства область занимает одно из ведущих мест в Поволжском экономическом регионе. Отрасль в регионе насчитывает более двух тысяч крупных и средних предприятий.</w:t>
      </w:r>
    </w:p>
    <w:p w:rsidR="00923279" w:rsidRPr="00A85AA6" w:rsidRDefault="00923279" w:rsidP="00923279">
      <w:pPr>
        <w:ind w:firstLine="709"/>
        <w:rPr>
          <w:rFonts w:eastAsia="Times New Roman" w:cs="Times New Roman"/>
          <w:szCs w:val="28"/>
        </w:rPr>
      </w:pPr>
      <w:r w:rsidRPr="00A85AA6">
        <w:rPr>
          <w:rFonts w:eastAsia="Times New Roman" w:cs="Times New Roman"/>
          <w:szCs w:val="28"/>
        </w:rPr>
        <w:t xml:space="preserve">Другие участники </w:t>
      </w:r>
      <w:r w:rsidR="00825E66">
        <w:rPr>
          <w:rFonts w:eastAsia="Times New Roman" w:cs="Times New Roman"/>
          <w:szCs w:val="28"/>
        </w:rPr>
        <w:t>государственной программы</w:t>
      </w:r>
      <w:r w:rsidRPr="00A85AA6">
        <w:rPr>
          <w:rFonts w:eastAsia="Times New Roman" w:cs="Times New Roman"/>
          <w:szCs w:val="28"/>
        </w:rPr>
        <w:t>, члены ПФО, были гораздо активнее. Инвестировать средства областного бюджета в достижение поставленных целей, а также привлекать средства из внебюджетных источников. Этот интерес к властям не должен остаться без результата.</w:t>
      </w:r>
    </w:p>
    <w:p w:rsidR="00923279" w:rsidRDefault="00923279" w:rsidP="00923279">
      <w:pPr>
        <w:ind w:firstLine="709"/>
      </w:pPr>
      <w:r>
        <w:t>Основными причинами низкой производительности труда в экономике можно отметить низкий уровень конкуренции, серьезное отставание в технологиях, износ оборудования, недостаток инвестиций.</w:t>
      </w:r>
    </w:p>
    <w:p w:rsidR="00923279" w:rsidRDefault="00923279" w:rsidP="00923279">
      <w:pPr>
        <w:ind w:firstLine="709"/>
      </w:pPr>
      <w:r>
        <w:t>В стране создано много неэффективной работы (занятость в непроизводственной сфере). Большой плюс повышение занятости в непроизводственной сфере является сокращения уровня безработицы, с другой стороны данная занятость снижает общую производительность труда в экономике.</w:t>
      </w:r>
    </w:p>
    <w:p w:rsidR="00923279" w:rsidRDefault="00923279" w:rsidP="00923279">
      <w:pPr>
        <w:ind w:firstLine="709"/>
      </w:pPr>
      <w:r>
        <w:t xml:space="preserve">Другой проблемой является низкая автоматизация труда. Например, по данным Международной федерации робототехники, в Южной Корее на каждые 10 тысяч работников, работающих в обрабатывающей промышленности, приходится 631 промышленный робот, в Сингапуре – 488. У немцев было более 300 роботов на 10 тысяч сотрудников, у датчан-более 200, у </w:t>
      </w:r>
      <w:proofErr w:type="gramStart"/>
      <w:r>
        <w:t>американцев-почти</w:t>
      </w:r>
      <w:proofErr w:type="gramEnd"/>
      <w:r>
        <w:t xml:space="preserve"> 190. Выступление России в этом рейтинге выглядит очень слабым. У нас всего 3 промышленных робота на 10 тысяч человек. Это даже ниже, чем в Индонезии и то же самое, что на Филиппинах.</w:t>
      </w:r>
    </w:p>
    <w:p w:rsidR="00923279" w:rsidRDefault="00923279" w:rsidP="00923279">
      <w:pPr>
        <w:ind w:firstLine="709"/>
      </w:pPr>
      <w:r>
        <w:lastRenderedPageBreak/>
        <w:t>Согласно национальному проекту «Повышение производительности труда и поддержка занятости» ставилась задача, что к 2018 году производительность труда должна была  вырасти в 1,5 раза по сравнению с уровнем 2011 года. Однако поставленная цель не была достигнута, и производительность труда выросла в среднем на 5,5 процента. Сейчас она составляет около $ 26 в час, что в три раза меньше, чем в Германии и США, и в два раза больше, чем в среднем по ОЭСР.</w:t>
      </w:r>
    </w:p>
    <w:p w:rsidR="00923279" w:rsidRDefault="00923279" w:rsidP="00923279">
      <w:pPr>
        <w:ind w:firstLine="709"/>
      </w:pPr>
      <w:r>
        <w:t xml:space="preserve">В случае принятия указа к 2018 году работа трансформировалась в более реалистичные параметры: к 2024 году производительность труда на крупных и средних </w:t>
      </w:r>
      <w:proofErr w:type="spellStart"/>
      <w:r>
        <w:t>несырьевых</w:t>
      </w:r>
      <w:proofErr w:type="spellEnd"/>
      <w:r>
        <w:t xml:space="preserve"> предприятиях должна расти не менее чем на 5 процентов в год. В национальном проекте "производительность труда и поддержка труда" ежегодно должны участвовать не менее 10 стран, а также не менее 10 тыс. крупных и средних компаний. Согласно этому расчету, производительность труда в РФ будет отставать от средней производительности труда по Евросоюзу по всей экономике в 2,9 раза.  Сейчас разброс задержек по отраслям составляет 2-5 раз. Самый большой - в аграрном секторе (5,3), в IT-секторе он составляет 3,7, государственном управлении и социальных услугах-3,2 раза, научных исследованиях и других профессиональных услугах-2,1 раза, финансах-2,3.</w:t>
      </w:r>
    </w:p>
    <w:p w:rsidR="00923279" w:rsidRDefault="00923279" w:rsidP="00923279">
      <w:pPr>
        <w:ind w:firstLine="709"/>
      </w:pPr>
      <w:r>
        <w:t>Причины такого отставания экономисты называют разные: устаревшие технологии, уровень квалификации работников, мотивация, управление запасами и т.д.</w:t>
      </w:r>
    </w:p>
    <w:p w:rsidR="00923279" w:rsidRDefault="00923279" w:rsidP="00923279">
      <w:pPr>
        <w:ind w:firstLine="709"/>
      </w:pPr>
      <w:r>
        <w:t>В той же Европе и даже в Китае заводы значительно более автоматизированы, чем в нашей стране, где предприятия работают на промышленном оборудовании, возраст которого начинается с двух десятков лет. Впрочем, даже если владелец бизнеса пытается идти в ногу со временем, он должен понимать, что без грамотной мотивации персонала сложно добиться высоких показателей производительности труда. Важно, чтобы при внедрении современных технологий у сотрудников не возникало страха остаться без работы.</w:t>
      </w:r>
      <w:r w:rsidR="00825E66">
        <w:t xml:space="preserve"> </w:t>
      </w:r>
      <w:r>
        <w:t xml:space="preserve">Человек должен быть уверен в том, что машина облегчит его труд, а не вытеснит в очередь центра занятости населения. Модернизировать </w:t>
      </w:r>
      <w:r>
        <w:lastRenderedPageBreak/>
        <w:t>предприятие, менять морально и физически устаревшее оборудование, внедрять инновации, безусловно, дорого, потому большинство организаций зачастую идут привычным для современной России путём – нанимают работников на низкую зарплату или сокращают заработок, что естественным образом отражается на желании сотрудника вкладываться в развитие предприятия.</w:t>
      </w:r>
      <w:r w:rsidR="00825E66">
        <w:t xml:space="preserve"> </w:t>
      </w:r>
      <w:r>
        <w:t xml:space="preserve">В таблице </w:t>
      </w:r>
      <w:r w:rsidR="00825E66">
        <w:t>7</w:t>
      </w:r>
      <w:r>
        <w:t xml:space="preserve"> представим </w:t>
      </w:r>
      <w:proofErr w:type="spellStart"/>
      <w:r>
        <w:t>свот</w:t>
      </w:r>
      <w:proofErr w:type="spellEnd"/>
      <w:r>
        <w:t xml:space="preserve"> анализ условий реализации </w:t>
      </w:r>
      <w:r w:rsidR="00825E66">
        <w:t xml:space="preserve">государственной программы </w:t>
      </w:r>
      <w:r>
        <w:t>«Повышение производительности труда и поддержка занятости».</w:t>
      </w:r>
    </w:p>
    <w:p w:rsidR="00923279" w:rsidRDefault="00923279" w:rsidP="00923279"/>
    <w:p w:rsidR="00923279" w:rsidRDefault="00923279" w:rsidP="00825E66">
      <w:pPr>
        <w:ind w:firstLine="709"/>
      </w:pPr>
      <w:r>
        <w:t xml:space="preserve">Таблица </w:t>
      </w:r>
      <w:r w:rsidR="00825E66">
        <w:t xml:space="preserve">7 – </w:t>
      </w:r>
      <w:r w:rsidRPr="00B34F5F">
        <w:t>SWOT</w:t>
      </w:r>
      <w:r>
        <w:t xml:space="preserve"> анализ условий реализации </w:t>
      </w:r>
      <w:r w:rsidR="00825E66">
        <w:t xml:space="preserve">государственной программы </w:t>
      </w:r>
      <w:r>
        <w:t>«Повышение производительности труда и поддержка занятости»</w:t>
      </w:r>
    </w:p>
    <w:tbl>
      <w:tblPr>
        <w:tblStyle w:val="af0"/>
        <w:tblW w:w="9554" w:type="dxa"/>
        <w:tblLook w:val="04A0" w:firstRow="1" w:lastRow="0" w:firstColumn="1" w:lastColumn="0" w:noHBand="0" w:noVBand="1"/>
      </w:tblPr>
      <w:tblGrid>
        <w:gridCol w:w="4777"/>
        <w:gridCol w:w="4777"/>
      </w:tblGrid>
      <w:tr w:rsidR="00923279" w:rsidRPr="00217808" w:rsidTr="00923279">
        <w:trPr>
          <w:trHeight w:val="254"/>
        </w:trPr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 w:rsidRPr="00217808">
              <w:rPr>
                <w:sz w:val="20"/>
              </w:rPr>
              <w:t>Сильные стороны</w:t>
            </w:r>
          </w:p>
        </w:tc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 w:rsidRPr="00217808">
              <w:rPr>
                <w:sz w:val="20"/>
              </w:rPr>
              <w:t>Слабые стороны</w:t>
            </w:r>
          </w:p>
        </w:tc>
      </w:tr>
      <w:tr w:rsidR="00923279" w:rsidRPr="00217808" w:rsidTr="00923279">
        <w:trPr>
          <w:trHeight w:val="261"/>
        </w:trPr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 w:rsidRPr="00217808">
              <w:rPr>
                <w:sz w:val="20"/>
              </w:rPr>
              <w:t>Необходимые ресурсы для реализации проекта</w:t>
            </w:r>
          </w:p>
        </w:tc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Нет четкой организации реализации проекта</w:t>
            </w:r>
          </w:p>
        </w:tc>
      </w:tr>
      <w:tr w:rsidR="00923279" w:rsidRPr="00217808" w:rsidTr="00923279">
        <w:trPr>
          <w:trHeight w:val="261"/>
        </w:trPr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Разработка паспорта проекта, установка конкретных целей</w:t>
            </w:r>
          </w:p>
        </w:tc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Коррупция и махинация в сфере государственных заказов и закупок</w:t>
            </w:r>
          </w:p>
        </w:tc>
      </w:tr>
      <w:tr w:rsidR="00923279" w:rsidRPr="00217808" w:rsidTr="00923279">
        <w:trPr>
          <w:trHeight w:val="261"/>
        </w:trPr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Государственная поддержка национального проекта</w:t>
            </w:r>
          </w:p>
        </w:tc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Устаревание ОПФ</w:t>
            </w:r>
          </w:p>
        </w:tc>
      </w:tr>
      <w:tr w:rsidR="00923279" w:rsidRPr="00217808" w:rsidTr="00923279">
        <w:trPr>
          <w:trHeight w:val="261"/>
        </w:trPr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Содействия занятости за счет поддержки малого предпринимательства, реализация пилотного проекта </w:t>
            </w:r>
            <w:proofErr w:type="spellStart"/>
            <w:r>
              <w:rPr>
                <w:sz w:val="20"/>
              </w:rPr>
              <w:t>самозанятости</w:t>
            </w:r>
            <w:proofErr w:type="spellEnd"/>
          </w:p>
        </w:tc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Отсутствие реальной модернизации промышленных отраслей</w:t>
            </w:r>
          </w:p>
        </w:tc>
      </w:tr>
      <w:tr w:rsidR="00923279" w:rsidRPr="00217808" w:rsidTr="00923279">
        <w:trPr>
          <w:trHeight w:val="261"/>
        </w:trPr>
        <w:tc>
          <w:tcPr>
            <w:tcW w:w="4777" w:type="dxa"/>
          </w:tcPr>
          <w:p w:rsidR="00923279" w:rsidRDefault="00923279" w:rsidP="00923279">
            <w:pPr>
              <w:spacing w:line="240" w:lineRule="auto"/>
              <w:rPr>
                <w:sz w:val="20"/>
              </w:rPr>
            </w:pPr>
          </w:p>
        </w:tc>
        <w:tc>
          <w:tcPr>
            <w:tcW w:w="4777" w:type="dxa"/>
          </w:tcPr>
          <w:p w:rsidR="00923279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Высокая налоговая нагрузка</w:t>
            </w:r>
          </w:p>
        </w:tc>
      </w:tr>
      <w:tr w:rsidR="00923279" w:rsidRPr="00217808" w:rsidTr="00923279">
        <w:trPr>
          <w:trHeight w:val="261"/>
        </w:trPr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</w:p>
        </w:tc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Угрозы</w:t>
            </w:r>
          </w:p>
        </w:tc>
      </w:tr>
      <w:tr w:rsidR="00923279" w:rsidRPr="00217808" w:rsidTr="00923279">
        <w:trPr>
          <w:trHeight w:val="261"/>
        </w:trPr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Автоматизация производственных отраслей</w:t>
            </w:r>
          </w:p>
        </w:tc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Повышение занятости за счет непроизводственной сферы</w:t>
            </w:r>
          </w:p>
        </w:tc>
      </w:tr>
      <w:tr w:rsidR="00923279" w:rsidRPr="00217808" w:rsidTr="00923279">
        <w:trPr>
          <w:trHeight w:val="261"/>
        </w:trPr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Расширение государственных программ поддержки отраслей</w:t>
            </w:r>
          </w:p>
        </w:tc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Утечка капитала на нецелевые направления</w:t>
            </w:r>
          </w:p>
        </w:tc>
      </w:tr>
      <w:tr w:rsidR="00923279" w:rsidRPr="00217808" w:rsidTr="00923279">
        <w:trPr>
          <w:trHeight w:val="261"/>
        </w:trPr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Расширение реальных государственных заказов для тендеров</w:t>
            </w:r>
          </w:p>
        </w:tc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</w:p>
        </w:tc>
      </w:tr>
      <w:tr w:rsidR="00923279" w:rsidRPr="00217808" w:rsidTr="00923279">
        <w:trPr>
          <w:trHeight w:val="261"/>
        </w:trPr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Развитие </w:t>
            </w:r>
            <w:proofErr w:type="gramStart"/>
            <w:r>
              <w:rPr>
                <w:sz w:val="20"/>
              </w:rPr>
              <w:t>государственного-частного</w:t>
            </w:r>
            <w:proofErr w:type="gramEnd"/>
            <w:r>
              <w:rPr>
                <w:sz w:val="20"/>
              </w:rPr>
              <w:t xml:space="preserve"> партнерства</w:t>
            </w:r>
          </w:p>
        </w:tc>
        <w:tc>
          <w:tcPr>
            <w:tcW w:w="4777" w:type="dxa"/>
          </w:tcPr>
          <w:p w:rsidR="00923279" w:rsidRPr="00217808" w:rsidRDefault="00923279" w:rsidP="00923279">
            <w:pPr>
              <w:spacing w:line="240" w:lineRule="auto"/>
              <w:rPr>
                <w:sz w:val="20"/>
              </w:rPr>
            </w:pPr>
          </w:p>
        </w:tc>
      </w:tr>
    </w:tbl>
    <w:p w:rsidR="00923279" w:rsidRDefault="00923279" w:rsidP="00923279">
      <w:pPr>
        <w:ind w:firstLine="709"/>
      </w:pPr>
    </w:p>
    <w:p w:rsidR="00923279" w:rsidRDefault="00923279" w:rsidP="00825E66">
      <w:pPr>
        <w:ind w:firstLine="709"/>
      </w:pPr>
      <w:r w:rsidRPr="00C04F46">
        <w:t xml:space="preserve">Так же стоит отметить, что национальный проект «Повышение производительности труда и поддержка занятости» в основном направлена на средние предприятия, при этом планка для крупных холдингов она занижена и предоставлены они на самофинансирование, а для малого и </w:t>
      </w:r>
      <w:proofErr w:type="spellStart"/>
      <w:r w:rsidRPr="00C04F46">
        <w:t>микробизнеса</w:t>
      </w:r>
      <w:proofErr w:type="spellEnd"/>
      <w:r w:rsidRPr="00C04F46">
        <w:t xml:space="preserve"> планка завышена. Без государственной поддержки реализация программы среди малого бизнеса не возможна.</w:t>
      </w:r>
      <w:r w:rsidR="00825E66">
        <w:t xml:space="preserve"> </w:t>
      </w:r>
      <w:r w:rsidRPr="00C04F46">
        <w:t xml:space="preserve">Другой немаловажной причиной является высокая налоговая нагрузка. Данная нагрузка не оставляет свободных средств на развитие предприятия. Поэтому для роста зачастую субъекты предпринимательства вынуждены привлекать заемный капитал. </w:t>
      </w:r>
      <w:r>
        <w:t xml:space="preserve"> </w:t>
      </w:r>
    </w:p>
    <w:p w:rsidR="00825E66" w:rsidRPr="00825E66" w:rsidRDefault="00825E66" w:rsidP="00825E66">
      <w:pPr>
        <w:pStyle w:val="1"/>
        <w:ind w:firstLine="709"/>
        <w:rPr>
          <w:rFonts w:eastAsia="Times New Roman" w:cs="Calibri"/>
          <w:szCs w:val="17"/>
          <w:lang w:eastAsia="ru-RU"/>
        </w:rPr>
      </w:pPr>
      <w:bookmarkStart w:id="7" w:name="_Toc31379402"/>
      <w:r>
        <w:lastRenderedPageBreak/>
        <w:t xml:space="preserve">2.3 </w:t>
      </w:r>
      <w:bookmarkStart w:id="8" w:name="_GoBack"/>
      <w:bookmarkEnd w:id="8"/>
      <w:r w:rsidRPr="00825E66">
        <w:t xml:space="preserve"> Перспективы развития </w:t>
      </w:r>
      <w:r>
        <w:t xml:space="preserve">государственной программы </w:t>
      </w:r>
      <w:r w:rsidRPr="00825E66">
        <w:t>«Повышение производительности труда и поддержка занятости»</w:t>
      </w:r>
      <w:bookmarkEnd w:id="7"/>
    </w:p>
    <w:p w:rsidR="00825E66" w:rsidRPr="00825E66" w:rsidRDefault="00825E66" w:rsidP="00825E66">
      <w:pPr>
        <w:ind w:firstLine="709"/>
      </w:pP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rFonts w:eastAsia="Times New Roman" w:cs="Times New Roman"/>
          <w:szCs w:val="28"/>
        </w:rPr>
        <w:t xml:space="preserve">Проект «Повышение производительности труда и поддержки занятости» </w:t>
      </w:r>
      <w:proofErr w:type="gramStart"/>
      <w:r w:rsidRPr="00825E66">
        <w:rPr>
          <w:rFonts w:eastAsia="Times New Roman" w:cs="Times New Roman"/>
          <w:szCs w:val="28"/>
        </w:rPr>
        <w:t>разработана</w:t>
      </w:r>
      <w:proofErr w:type="gramEnd"/>
      <w:r w:rsidRPr="00825E66">
        <w:rPr>
          <w:rFonts w:eastAsia="Times New Roman" w:cs="Times New Roman"/>
          <w:szCs w:val="28"/>
        </w:rPr>
        <w:t xml:space="preserve"> Минэкономразвития России. Паспорт программы был утвержден 22 сентября 2017 года.  Срок реализации проект а– с сентября 2017 года по декабрь 2025 года. В 2018 году такие программы будут реализованы в 15 субъектах Федерации на 150 предприятиях, к 2025 году – в 85 субъектах Федерации на 850 предприятиях</w:t>
      </w:r>
      <w:r w:rsidRPr="00825E66">
        <w:rPr>
          <w:rFonts w:eastAsia="Times New Roman" w:cs="Times New Roman"/>
          <w:szCs w:val="28"/>
          <w:vertAlign w:val="superscript"/>
        </w:rPr>
        <w:footnoteReference w:id="12"/>
      </w:r>
      <w:r>
        <w:rPr>
          <w:rFonts w:eastAsia="Times New Roman" w:cs="Times New Roman"/>
          <w:szCs w:val="28"/>
        </w:rPr>
        <w:t xml:space="preserve"> </w:t>
      </w:r>
      <w:r w:rsidRPr="00825E66">
        <w:rPr>
          <w:rFonts w:eastAsia="Times New Roman" w:cs="Times New Roman"/>
          <w:szCs w:val="28"/>
        </w:rPr>
        <w:t xml:space="preserve">Проект «Повышение производительности труда и поддержка занятости» предполагает, в первую очередь, работу на уровне регионов. Одно из основных отличий программы от предыдущих планов, которые в основном были сформулированы на макроэкономическом уровне, заключается в том, что в этот раз концентрация усилий будет происходить на микроуровне, на уровне предприятий. Это связано с тем, что основной потенциал роста производительности лежит на уровне отдельного предприятия. </w:t>
      </w:r>
      <w:r>
        <w:rPr>
          <w:rFonts w:eastAsia="Times New Roman" w:cs="Times New Roman"/>
          <w:szCs w:val="28"/>
        </w:rPr>
        <w:t xml:space="preserve"> </w:t>
      </w:r>
      <w:proofErr w:type="gramStart"/>
      <w:r w:rsidRPr="00825E66">
        <w:rPr>
          <w:rFonts w:eastAsia="Times New Roman" w:cs="Times New Roman"/>
          <w:szCs w:val="28"/>
        </w:rPr>
        <w:t>Второй очень важный элемент – это то, что существует много показателей производительности труда: выручка на занятого, добавленная стоимость на отработанный час.</w:t>
      </w:r>
      <w:proofErr w:type="gramEnd"/>
      <w:r w:rsidRPr="00825E66">
        <w:rPr>
          <w:rFonts w:eastAsia="Times New Roman" w:cs="Times New Roman"/>
          <w:szCs w:val="28"/>
        </w:rPr>
        <w:t xml:space="preserve"> И в рамках программы разрабатывается статистическая методология — как рассчитывать производительность. Но, тем не менее, это действительно соотношение числителя и знаменателя, и рост дроби может быть обусловлен либо ростом числительного, либо снижением знаменателя, либо и тем и другим. 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rFonts w:eastAsia="Times New Roman" w:cs="Times New Roman"/>
          <w:szCs w:val="28"/>
        </w:rPr>
        <w:t xml:space="preserve">Участие регионов, и участие предприятий в программе исключительно добровольное. Участие предприятия определяется по потенциалу. Это, с одной стороны, экспортный потенциал, и второе — потенциал внутреннего рынка. 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rFonts w:eastAsia="Times New Roman" w:cs="Times New Roman"/>
          <w:szCs w:val="28"/>
        </w:rPr>
        <w:t xml:space="preserve">Еще один направление работы в регионах в рамках проекта — это работа с рынком труда. Сюда относится и мониторинг рынка труда для целей работодателей, и работа центров занятости и обучение специалистов. Важным инструментом реализации программы станет Федеральный центр компетенций. </w:t>
      </w:r>
      <w:r w:rsidRPr="00825E66">
        <w:rPr>
          <w:rFonts w:eastAsia="Times New Roman" w:cs="Times New Roman"/>
          <w:szCs w:val="28"/>
        </w:rPr>
        <w:lastRenderedPageBreak/>
        <w:t>Распоряжение о создании, об учреждении Федерального центра компетенций было подписано 30 ноября, сейчас он находится в состоянии регистрации</w:t>
      </w:r>
      <w:r w:rsidRPr="00825E66">
        <w:rPr>
          <w:rFonts w:eastAsia="Times New Roman" w:cs="Times New Roman"/>
          <w:szCs w:val="28"/>
          <w:vertAlign w:val="superscript"/>
        </w:rPr>
        <w:footnoteReference w:id="13"/>
      </w:r>
      <w:r w:rsidRPr="00825E66">
        <w:rPr>
          <w:rFonts w:eastAsia="Times New Roman" w:cs="Times New Roman"/>
          <w:szCs w:val="28"/>
        </w:rPr>
        <w:t>.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rFonts w:eastAsia="Times New Roman" w:cs="Times New Roman"/>
          <w:szCs w:val="28"/>
        </w:rPr>
        <w:t xml:space="preserve">В 2019 году в России было создано более миллиона высокопроизводительных рабочих мест (ВПРМ), их общее количество в экономике превысило 17 </w:t>
      </w:r>
      <w:proofErr w:type="gramStart"/>
      <w:r w:rsidRPr="00825E66">
        <w:rPr>
          <w:rFonts w:eastAsia="Times New Roman" w:cs="Times New Roman"/>
          <w:szCs w:val="28"/>
        </w:rPr>
        <w:t>млн</w:t>
      </w:r>
      <w:proofErr w:type="gramEnd"/>
      <w:r w:rsidRPr="00825E66">
        <w:rPr>
          <w:rFonts w:eastAsia="Times New Roman" w:cs="Times New Roman"/>
          <w:szCs w:val="28"/>
        </w:rPr>
        <w:t xml:space="preserve">, следует из свежих данных Росстата. По сравнению с 2016 годом показатель вырос на 6,9%, но даже такой рост не позволил превысить уровень 2013 года — 17,5 </w:t>
      </w:r>
      <w:proofErr w:type="gramStart"/>
      <w:r w:rsidRPr="00825E66">
        <w:rPr>
          <w:rFonts w:eastAsia="Times New Roman" w:cs="Times New Roman"/>
          <w:szCs w:val="28"/>
        </w:rPr>
        <w:t>млн</w:t>
      </w:r>
      <w:proofErr w:type="gramEnd"/>
      <w:r w:rsidRPr="00825E66">
        <w:rPr>
          <w:rFonts w:eastAsia="Times New Roman" w:cs="Times New Roman"/>
          <w:szCs w:val="28"/>
        </w:rPr>
        <w:t xml:space="preserve"> ВПРМ, с которого начался отсчет показателя. Максимального уровня — 18,3 </w:t>
      </w:r>
      <w:proofErr w:type="gramStart"/>
      <w:r w:rsidRPr="00825E66">
        <w:rPr>
          <w:rFonts w:eastAsia="Times New Roman" w:cs="Times New Roman"/>
          <w:szCs w:val="28"/>
        </w:rPr>
        <w:t>млн</w:t>
      </w:r>
      <w:proofErr w:type="gramEnd"/>
      <w:r w:rsidRPr="00825E66">
        <w:rPr>
          <w:rFonts w:eastAsia="Times New Roman" w:cs="Times New Roman"/>
          <w:szCs w:val="28"/>
        </w:rPr>
        <w:t xml:space="preserve"> — количество ВПРМ достигало в 2014 году и затем два года сокращалось. А согласно президентским майским указам шестилетней давности, к 2020 году число высокопроизводительных рабочих мест должно достичь 25 млн.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rFonts w:eastAsia="Times New Roman" w:cs="Times New Roman"/>
          <w:szCs w:val="28"/>
        </w:rPr>
        <w:t xml:space="preserve">На рисунке </w:t>
      </w:r>
      <w:r>
        <w:rPr>
          <w:rFonts w:eastAsia="Times New Roman" w:cs="Times New Roman"/>
          <w:szCs w:val="28"/>
        </w:rPr>
        <w:t>8</w:t>
      </w:r>
      <w:r w:rsidRPr="00825E66">
        <w:rPr>
          <w:rFonts w:eastAsia="Times New Roman" w:cs="Times New Roman"/>
          <w:szCs w:val="28"/>
        </w:rPr>
        <w:t xml:space="preserve"> представим объем финансирования национального проекта.</w:t>
      </w:r>
    </w:p>
    <w:p w:rsidR="00825E66" w:rsidRPr="00825E66" w:rsidRDefault="00825E66" w:rsidP="00825E66">
      <w:pPr>
        <w:jc w:val="center"/>
        <w:rPr>
          <w:rFonts w:eastAsia="Times New Roman" w:cs="Times New Roman"/>
          <w:szCs w:val="28"/>
        </w:rPr>
      </w:pPr>
      <w:r w:rsidRPr="00825E66">
        <w:rPr>
          <w:noProof/>
          <w:lang w:eastAsia="ru-RU"/>
        </w:rPr>
        <w:drawing>
          <wp:inline distT="0" distB="0" distL="0" distR="0" wp14:anchorId="38FCCC3C" wp14:editId="5533FE46">
            <wp:extent cx="3368539" cy="1684089"/>
            <wp:effectExtent l="0" t="0" r="381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69130" cy="168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E66" w:rsidRPr="00825E66" w:rsidRDefault="00825E66" w:rsidP="00825E66">
      <w:pPr>
        <w:ind w:firstLine="709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Рисунок 8 </w:t>
      </w:r>
      <w:r w:rsidRPr="00825E66">
        <w:rPr>
          <w:rFonts w:eastAsia="Times New Roman" w:cs="Times New Roman"/>
          <w:szCs w:val="28"/>
        </w:rPr>
        <w:t xml:space="preserve"> – Объем финансового обеспечения по годам реализации, </w:t>
      </w:r>
      <w:proofErr w:type="gramStart"/>
      <w:r w:rsidRPr="00825E66">
        <w:rPr>
          <w:rFonts w:eastAsia="Times New Roman" w:cs="Times New Roman"/>
          <w:szCs w:val="28"/>
        </w:rPr>
        <w:t>млрд</w:t>
      </w:r>
      <w:proofErr w:type="gramEnd"/>
      <w:r w:rsidRPr="00825E66">
        <w:rPr>
          <w:rFonts w:eastAsia="Times New Roman" w:cs="Times New Roman"/>
          <w:szCs w:val="28"/>
        </w:rPr>
        <w:t xml:space="preserve"> руб.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rFonts w:eastAsia="Times New Roman" w:cs="Times New Roman"/>
          <w:szCs w:val="28"/>
        </w:rPr>
        <w:t xml:space="preserve">На реализацию нацпроекта в 2019 году власти направили 240 </w:t>
      </w:r>
      <w:proofErr w:type="gramStart"/>
      <w:r w:rsidRPr="00825E66">
        <w:rPr>
          <w:rFonts w:eastAsia="Times New Roman" w:cs="Times New Roman"/>
          <w:szCs w:val="28"/>
        </w:rPr>
        <w:t>млрд</w:t>
      </w:r>
      <w:proofErr w:type="gramEnd"/>
      <w:r w:rsidRPr="00825E66">
        <w:rPr>
          <w:rFonts w:eastAsia="Times New Roman" w:cs="Times New Roman"/>
          <w:szCs w:val="28"/>
        </w:rPr>
        <w:t xml:space="preserve"> рублей, из которых 235 млн рублей-средства федерального бюджета. До 2024 года регион получит от Федерации 390,4 </w:t>
      </w:r>
      <w:proofErr w:type="gramStart"/>
      <w:r w:rsidRPr="00825E66">
        <w:rPr>
          <w:rFonts w:eastAsia="Times New Roman" w:cs="Times New Roman"/>
          <w:szCs w:val="28"/>
        </w:rPr>
        <w:t>млн</w:t>
      </w:r>
      <w:proofErr w:type="gramEnd"/>
      <w:r w:rsidRPr="00825E66">
        <w:rPr>
          <w:rFonts w:eastAsia="Times New Roman" w:cs="Times New Roman"/>
          <w:szCs w:val="28"/>
        </w:rPr>
        <w:t xml:space="preserve"> рублей. Собственные средства в регионе, вложенные в национальные проекты, составят сумму 290 </w:t>
      </w:r>
      <w:proofErr w:type="gramStart"/>
      <w:r w:rsidRPr="00825E66">
        <w:rPr>
          <w:rFonts w:eastAsia="Times New Roman" w:cs="Times New Roman"/>
          <w:szCs w:val="28"/>
        </w:rPr>
        <w:t>млн</w:t>
      </w:r>
      <w:proofErr w:type="gramEnd"/>
      <w:r w:rsidRPr="00825E66">
        <w:rPr>
          <w:rFonts w:eastAsia="Times New Roman" w:cs="Times New Roman"/>
          <w:szCs w:val="28"/>
        </w:rPr>
        <w:t xml:space="preserve"> рублей, около 8 млн рублей планируется привлечь из внебюджетных источников.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rFonts w:eastAsia="Times New Roman" w:cs="Times New Roman"/>
          <w:szCs w:val="28"/>
        </w:rPr>
        <w:t xml:space="preserve">В Татарстане средства областного бюджета на реализацию нацпроекта превышают федеральные-269,55 против 146,38 </w:t>
      </w:r>
      <w:proofErr w:type="gramStart"/>
      <w:r w:rsidRPr="00825E66">
        <w:rPr>
          <w:rFonts w:eastAsia="Times New Roman" w:cs="Times New Roman"/>
          <w:szCs w:val="28"/>
        </w:rPr>
        <w:t>млн</w:t>
      </w:r>
      <w:proofErr w:type="gramEnd"/>
      <w:r w:rsidRPr="00825E66">
        <w:rPr>
          <w:rFonts w:eastAsia="Times New Roman" w:cs="Times New Roman"/>
          <w:szCs w:val="28"/>
        </w:rPr>
        <w:t xml:space="preserve"> рублей. Это неудивительно, ведь регион занимает шестое место по объему производства в стране и является одним из наиболее экономически развитых регионов Федерации. В Удмуртии </w:t>
      </w:r>
      <w:r w:rsidRPr="00825E66">
        <w:rPr>
          <w:rFonts w:eastAsia="Times New Roman" w:cs="Times New Roman"/>
          <w:szCs w:val="28"/>
        </w:rPr>
        <w:lastRenderedPageBreak/>
        <w:t xml:space="preserve">власти готовы вложить в проект 139,1 </w:t>
      </w:r>
      <w:proofErr w:type="gramStart"/>
      <w:r w:rsidRPr="00825E66">
        <w:rPr>
          <w:rFonts w:eastAsia="Times New Roman" w:cs="Times New Roman"/>
          <w:szCs w:val="28"/>
        </w:rPr>
        <w:t>млн</w:t>
      </w:r>
      <w:proofErr w:type="gramEnd"/>
      <w:r w:rsidRPr="00825E66">
        <w:rPr>
          <w:rFonts w:eastAsia="Times New Roman" w:cs="Times New Roman"/>
          <w:szCs w:val="28"/>
        </w:rPr>
        <w:t xml:space="preserve"> рублей и 140,9 млн привлечь из внебюджетных источников. Из федеральной казны регион получит всего 218,5 </w:t>
      </w:r>
      <w:proofErr w:type="gramStart"/>
      <w:r w:rsidRPr="00825E66">
        <w:rPr>
          <w:rFonts w:eastAsia="Times New Roman" w:cs="Times New Roman"/>
          <w:szCs w:val="28"/>
        </w:rPr>
        <w:t>млн</w:t>
      </w:r>
      <w:proofErr w:type="gramEnd"/>
      <w:r w:rsidRPr="00825E66">
        <w:rPr>
          <w:rFonts w:eastAsia="Times New Roman" w:cs="Times New Roman"/>
          <w:szCs w:val="28"/>
        </w:rPr>
        <w:t xml:space="preserve"> рублей. Следует отметить, что республика отличается развитой промышленностью и диверсифицированным сельскохозяйственным производством. Здесь самая высокая концентрация оборонных предприятий в России, богатые запасы нефти.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rFonts w:eastAsia="Times New Roman" w:cs="Times New Roman"/>
          <w:szCs w:val="28"/>
        </w:rPr>
        <w:t xml:space="preserve">Мордовия и инвестирует в проект вдвое больше Федерации-409,8 против 185,77 </w:t>
      </w:r>
      <w:proofErr w:type="gramStart"/>
      <w:r w:rsidRPr="00825E66">
        <w:rPr>
          <w:rFonts w:eastAsia="Times New Roman" w:cs="Times New Roman"/>
          <w:szCs w:val="28"/>
        </w:rPr>
        <w:t>млн</w:t>
      </w:r>
      <w:proofErr w:type="gramEnd"/>
      <w:r w:rsidRPr="00825E66">
        <w:rPr>
          <w:rFonts w:eastAsia="Times New Roman" w:cs="Times New Roman"/>
          <w:szCs w:val="28"/>
        </w:rPr>
        <w:t xml:space="preserve"> рублей. В последние годы наблюдается рост во всех отраслях экономики, включая промышленность, сельское хозяйство и строительство. Инвестиции в основной капитал увеличились, и интерес к республике со стороны иностранных инвесторов будет расти.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rFonts w:eastAsia="Times New Roman" w:cs="Times New Roman"/>
          <w:szCs w:val="28"/>
        </w:rPr>
        <w:t>"При активной позиции лидеров бизнеса и региональных властей у нас есть все предпосылки для выхода на один из мировых рекордных темпов роста производительности труда и вхождения в пятерку крупнейших экономик мира. Убежден, что успех лучших участников вдохновит предприятия и регионы активно использовать меры господдержки для собственного развития и процветания", - отметил генеральный директор федеральных центров компетенций в области производительности труда (ФЦК, операторы нацпроекта) Николай Соломонов.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rFonts w:eastAsia="Times New Roman" w:cs="Times New Roman"/>
          <w:szCs w:val="28"/>
        </w:rPr>
        <w:t>Есть также следующие страны-участницы национального проекта, которые не предоставляют официальных данных о своем бюджете. Но в их число входят Нижегородская, Ульяновская, Оренбургская и Кировская области, а также Республика Марий Эл.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rFonts w:eastAsia="Times New Roman" w:cs="Times New Roman"/>
          <w:szCs w:val="28"/>
        </w:rPr>
        <w:t xml:space="preserve">Как бы то ни было, уровень исполнения расходов по национальному проекту в стране оставляет желать лучшего. </w:t>
      </w:r>
      <w:proofErr w:type="gramStart"/>
      <w:r w:rsidRPr="00825E66">
        <w:rPr>
          <w:rFonts w:eastAsia="Times New Roman" w:cs="Times New Roman"/>
          <w:szCs w:val="28"/>
        </w:rPr>
        <w:t xml:space="preserve">Проект "производительность труда и поддержка труда" в списке аутсайдеров, уровень исполнения затрат на него составляет всего 4%. Участники парламентских слушаний по реализации майских указов Президента РФ в Совете Федерации пришли к выводу, что регионы не в состоянии самостоятельно составлять планы бюджетной политики по реализации национальных проектов из-за отсутствия единых правил </w:t>
      </w:r>
      <w:proofErr w:type="spellStart"/>
      <w:r w:rsidRPr="00825E66">
        <w:rPr>
          <w:rFonts w:eastAsia="Times New Roman" w:cs="Times New Roman"/>
          <w:szCs w:val="28"/>
        </w:rPr>
        <w:lastRenderedPageBreak/>
        <w:t>софинансирования</w:t>
      </w:r>
      <w:proofErr w:type="spellEnd"/>
      <w:r w:rsidRPr="00825E66">
        <w:rPr>
          <w:rFonts w:eastAsia="Times New Roman" w:cs="Times New Roman"/>
          <w:szCs w:val="28"/>
        </w:rPr>
        <w:t>.</w:t>
      </w:r>
      <w:proofErr w:type="gramEnd"/>
      <w:r w:rsidRPr="00825E66">
        <w:rPr>
          <w:rFonts w:eastAsia="Times New Roman" w:cs="Times New Roman"/>
          <w:szCs w:val="28"/>
        </w:rPr>
        <w:t xml:space="preserve"> Представители Счетной палаты России пришли к выводу, что реализация нацпроектов заблокирована из-за отсутствия достаточных организационных мер.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rFonts w:eastAsia="Times New Roman" w:cs="Times New Roman"/>
          <w:szCs w:val="28"/>
        </w:rPr>
        <w:t xml:space="preserve">Эксперты считают, что изначально все регионы, участвующие в нацпроектах, были слишком разными стартовыми площадками. То, что было относительно легко для одних, было слишком много для других. Об этом, в частности, шла речь на Российском инвестиционном форуме в Сочи. </w:t>
      </w:r>
      <w:proofErr w:type="gramStart"/>
      <w:r w:rsidRPr="00825E66">
        <w:rPr>
          <w:rFonts w:eastAsia="Times New Roman" w:cs="Times New Roman"/>
          <w:szCs w:val="28"/>
        </w:rPr>
        <w:t>-Я</w:t>
      </w:r>
      <w:proofErr w:type="gramEnd"/>
      <w:r w:rsidRPr="00825E66">
        <w:rPr>
          <w:rFonts w:eastAsia="Times New Roman" w:cs="Times New Roman"/>
          <w:szCs w:val="28"/>
        </w:rPr>
        <w:t xml:space="preserve"> не пытаюсь подвергать сомнению ваши цифры. Я просто хочу сказать то, что мне кажется очевидным: во всех регионах есть разные условия. И мы ставим ту же работу. Они могут выполнять одну и ту же работу, потому что у них разные требования?",- задал вопрос глава комитета Госдумы по бюджету и налогам Андрей Макаров.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 w:val="24"/>
          <w:szCs w:val="24"/>
        </w:rPr>
      </w:pPr>
      <w:r w:rsidRPr="00825E66">
        <w:rPr>
          <w:rFonts w:eastAsia="Times New Roman" w:cs="Times New Roman"/>
          <w:szCs w:val="28"/>
        </w:rPr>
        <w:t xml:space="preserve">Производительность труда в России медленно, но растет, указывает </w:t>
      </w:r>
      <w:proofErr w:type="spellStart"/>
      <w:r w:rsidRPr="00825E66">
        <w:rPr>
          <w:rFonts w:eastAsia="Times New Roman" w:cs="Times New Roman"/>
          <w:szCs w:val="28"/>
        </w:rPr>
        <w:t>Надоршин</w:t>
      </w:r>
      <w:proofErr w:type="spellEnd"/>
      <w:r w:rsidRPr="00825E66">
        <w:rPr>
          <w:rFonts w:eastAsia="Times New Roman" w:cs="Times New Roman"/>
          <w:szCs w:val="28"/>
        </w:rPr>
        <w:t>: хотя в прошлом году почти не было роста числа занятых, ВВП вырос на 1,5%, несмотря на рост импорта, который обычно снижает ВВП. «Небольшой рост производительности труда есть, он совсем не впечатляющий и очень далек от целевых 5%, о которых говорит Путин», — указывает экономист</w:t>
      </w:r>
      <w:r w:rsidRPr="00825E66">
        <w:rPr>
          <w:rFonts w:eastAsia="Times New Roman" w:cs="Times New Roman"/>
          <w:sz w:val="24"/>
          <w:szCs w:val="24"/>
          <w:vertAlign w:val="superscript"/>
        </w:rPr>
        <w:footnoteReference w:id="14"/>
      </w:r>
      <w:r w:rsidRPr="00825E66">
        <w:rPr>
          <w:rFonts w:eastAsia="Times New Roman" w:cs="Times New Roman"/>
          <w:sz w:val="24"/>
          <w:szCs w:val="24"/>
        </w:rPr>
        <w:t>.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 w:val="24"/>
          <w:szCs w:val="24"/>
        </w:rPr>
      </w:pPr>
    </w:p>
    <w:p w:rsidR="00825E66" w:rsidRPr="00825E66" w:rsidRDefault="00825E66" w:rsidP="00825E66">
      <w:pPr>
        <w:jc w:val="center"/>
        <w:rPr>
          <w:rFonts w:eastAsia="Times New Roman" w:cs="Times New Roman"/>
          <w:sz w:val="24"/>
          <w:szCs w:val="24"/>
        </w:rPr>
      </w:pPr>
      <w:r w:rsidRPr="00825E66">
        <w:rPr>
          <w:noProof/>
          <w:lang w:eastAsia="ru-RU"/>
        </w:rPr>
        <w:drawing>
          <wp:inline distT="0" distB="0" distL="0" distR="0" wp14:anchorId="46AEB386" wp14:editId="3729EB54">
            <wp:extent cx="4625340" cy="1805940"/>
            <wp:effectExtent l="0" t="0" r="22860" b="2286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25E66" w:rsidRPr="00825E66" w:rsidRDefault="00825E66" w:rsidP="00825E66">
      <w:pPr>
        <w:ind w:firstLine="709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Рисунок 9</w:t>
      </w:r>
      <w:r w:rsidRPr="00825E66">
        <w:rPr>
          <w:rFonts w:eastAsia="Times New Roman" w:cs="Times New Roman"/>
          <w:szCs w:val="24"/>
        </w:rPr>
        <w:t xml:space="preserve"> – Прогноз производительности труда в экономике РФ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rFonts w:eastAsia="Times New Roman" w:cs="Times New Roman"/>
          <w:szCs w:val="28"/>
        </w:rPr>
        <w:t xml:space="preserve"> Стоит отметить, что эксперты предполагают не только положительные результаты реализации национального проекта, но так же оказания сильного влияния таких </w:t>
      </w:r>
      <w:proofErr w:type="spellStart"/>
      <w:r w:rsidRPr="00825E66">
        <w:rPr>
          <w:rFonts w:eastAsia="Times New Roman" w:cs="Times New Roman"/>
          <w:szCs w:val="28"/>
        </w:rPr>
        <w:t>фаткоров</w:t>
      </w:r>
      <w:proofErr w:type="spellEnd"/>
      <w:r w:rsidRPr="00825E66">
        <w:rPr>
          <w:rFonts w:eastAsia="Times New Roman" w:cs="Times New Roman"/>
          <w:szCs w:val="28"/>
        </w:rPr>
        <w:t xml:space="preserve"> как коррупции, хищения бюджетных средств за счет </w:t>
      </w:r>
      <w:r w:rsidRPr="00825E66">
        <w:rPr>
          <w:rFonts w:eastAsia="Times New Roman" w:cs="Times New Roman"/>
          <w:szCs w:val="28"/>
        </w:rPr>
        <w:lastRenderedPageBreak/>
        <w:t xml:space="preserve">манипулирование государственных заказов. Развитие производственной сферы предполагает повышение занятости населения (рисунок </w:t>
      </w:r>
      <w:r>
        <w:rPr>
          <w:rFonts w:eastAsia="Times New Roman" w:cs="Times New Roman"/>
          <w:szCs w:val="28"/>
        </w:rPr>
        <w:t>10</w:t>
      </w:r>
      <w:r w:rsidRPr="00825E66">
        <w:rPr>
          <w:rFonts w:eastAsia="Times New Roman" w:cs="Times New Roman"/>
          <w:szCs w:val="28"/>
        </w:rPr>
        <w:t>).</w:t>
      </w:r>
      <w:r w:rsidR="000E7CBA">
        <w:rPr>
          <w:rFonts w:eastAsia="Times New Roman" w:cs="Times New Roman"/>
          <w:szCs w:val="28"/>
        </w:rPr>
        <w:t xml:space="preserve"> </w:t>
      </w:r>
      <w:r w:rsidRPr="00825E66">
        <w:rPr>
          <w:rFonts w:eastAsia="Times New Roman" w:cs="Times New Roman"/>
          <w:szCs w:val="28"/>
        </w:rPr>
        <w:t>Уровень общей безработицы в 2019 году составил в среднем за год 5,2% (на 0,3% ниже 2016 года).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noProof/>
          <w:lang w:eastAsia="ru-RU"/>
        </w:rPr>
        <w:drawing>
          <wp:inline distT="0" distB="0" distL="0" distR="0" wp14:anchorId="5E35D293" wp14:editId="51DC422B">
            <wp:extent cx="6019800" cy="1470660"/>
            <wp:effectExtent l="0" t="0" r="19050" b="1524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25E66" w:rsidRPr="00825E66" w:rsidRDefault="00825E66" w:rsidP="00825E66">
      <w:pPr>
        <w:ind w:firstLine="709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Рисунок 10</w:t>
      </w:r>
      <w:r w:rsidRPr="00825E66">
        <w:rPr>
          <w:rFonts w:eastAsia="Times New Roman" w:cs="Times New Roman"/>
          <w:szCs w:val="24"/>
        </w:rPr>
        <w:t xml:space="preserve"> – Прогноз уровня занятости </w:t>
      </w:r>
      <w:proofErr w:type="gramStart"/>
      <w:r w:rsidRPr="00825E66">
        <w:rPr>
          <w:rFonts w:eastAsia="Times New Roman" w:cs="Times New Roman"/>
          <w:szCs w:val="24"/>
        </w:rPr>
        <w:t>в</w:t>
      </w:r>
      <w:proofErr w:type="gramEnd"/>
      <w:r w:rsidRPr="00825E66">
        <w:rPr>
          <w:rFonts w:eastAsia="Times New Roman" w:cs="Times New Roman"/>
          <w:szCs w:val="24"/>
        </w:rPr>
        <w:t xml:space="preserve"> % </w:t>
      </w:r>
      <w:proofErr w:type="gramStart"/>
      <w:r w:rsidRPr="00825E66">
        <w:rPr>
          <w:rFonts w:eastAsia="Times New Roman" w:cs="Times New Roman"/>
          <w:szCs w:val="24"/>
        </w:rPr>
        <w:t>к</w:t>
      </w:r>
      <w:proofErr w:type="gramEnd"/>
      <w:r w:rsidRPr="00825E66">
        <w:rPr>
          <w:rFonts w:eastAsia="Times New Roman" w:cs="Times New Roman"/>
          <w:szCs w:val="24"/>
        </w:rPr>
        <w:t xml:space="preserve"> предыдущему году в экономике РФ</w:t>
      </w: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</w:p>
    <w:p w:rsidR="00825E66" w:rsidRPr="00825E66" w:rsidRDefault="00825E66" w:rsidP="00825E66">
      <w:pPr>
        <w:ind w:firstLine="709"/>
        <w:rPr>
          <w:rFonts w:eastAsia="Times New Roman" w:cs="Times New Roman"/>
          <w:szCs w:val="28"/>
        </w:rPr>
      </w:pPr>
      <w:r w:rsidRPr="00825E66">
        <w:rPr>
          <w:rFonts w:eastAsia="Times New Roman" w:cs="Times New Roman"/>
          <w:szCs w:val="28"/>
        </w:rPr>
        <w:t>В 2019 году в России численность безработных в возрасте 15–72 лет по методике Международной организации труда составила в среднем за год 3967 тысяч человек. По сравнению с 2016 годом она сократилась на 277 тысяч человек (на 6,5%). Уровень общей безработицы составил в среднем за год 5,2%, что на 0,3% ниже, чем в 2016 году</w:t>
      </w:r>
      <w:r w:rsidRPr="00825E66">
        <w:rPr>
          <w:rFonts w:eastAsia="Times New Roman" w:cs="Times New Roman"/>
          <w:szCs w:val="28"/>
          <w:vertAlign w:val="superscript"/>
        </w:rPr>
        <w:footnoteReference w:id="15"/>
      </w:r>
      <w:r w:rsidRPr="00825E66">
        <w:rPr>
          <w:rFonts w:eastAsia="Times New Roman" w:cs="Times New Roman"/>
          <w:szCs w:val="28"/>
        </w:rPr>
        <w:t>. </w:t>
      </w:r>
    </w:p>
    <w:p w:rsidR="00CF102F" w:rsidRDefault="00825E66" w:rsidP="00825E66">
      <w:pPr>
        <w:ind w:firstLine="709"/>
      </w:pPr>
      <w:r w:rsidRPr="00825E66">
        <w:rPr>
          <w:rFonts w:eastAsia="Times New Roman" w:cs="Times New Roman"/>
          <w:szCs w:val="28"/>
        </w:rPr>
        <w:t xml:space="preserve">Важным аспектом повышение производительности труда является внедрение инноваций. </w:t>
      </w:r>
      <w:r w:rsidRPr="00825E66">
        <w:t xml:space="preserve">Высокая конкуренция и снижение нормы прибыли заставляют российские банки искать новые способы повышения эффективности. Одна из главных волшебных палочек – искусственный интеллект (ИИ), который одним дает более чем двукратное ускорение среднегодовых темпов роста выручки (CAGR </w:t>
      </w:r>
      <w:proofErr w:type="spellStart"/>
      <w:r w:rsidRPr="00825E66">
        <w:t>Compound</w:t>
      </w:r>
      <w:proofErr w:type="spellEnd"/>
      <w:r w:rsidRPr="00825E66">
        <w:t xml:space="preserve"> </w:t>
      </w:r>
      <w:proofErr w:type="spellStart"/>
      <w:r w:rsidRPr="00825E66">
        <w:t>annual</w:t>
      </w:r>
      <w:proofErr w:type="spellEnd"/>
      <w:r w:rsidRPr="00825E66">
        <w:t xml:space="preserve"> </w:t>
      </w:r>
      <w:proofErr w:type="spellStart"/>
      <w:r w:rsidRPr="00825E66">
        <w:t>growth</w:t>
      </w:r>
      <w:proofErr w:type="spellEnd"/>
      <w:r w:rsidRPr="00825E66">
        <w:t xml:space="preserve"> </w:t>
      </w:r>
      <w:proofErr w:type="spellStart"/>
      <w:r w:rsidRPr="00825E66">
        <w:t>rate</w:t>
      </w:r>
      <w:proofErr w:type="spellEnd"/>
      <w:r w:rsidRPr="00825E66">
        <w:t xml:space="preserve">), а другим – дополнительный центр прибыли в миллиарды долларов. Тем не менее, сегодня менее 7% российских банков способны в полной мере использовать возможности ИИ в анализе больших данных.  </w:t>
      </w:r>
      <w:r w:rsidR="00CF102F">
        <w:br w:type="page"/>
      </w:r>
    </w:p>
    <w:p w:rsidR="00A43A3D" w:rsidRDefault="0095792F" w:rsidP="0095792F">
      <w:pPr>
        <w:pStyle w:val="1"/>
      </w:pPr>
      <w:bookmarkStart w:id="9" w:name="_Toc31379403"/>
      <w:r>
        <w:lastRenderedPageBreak/>
        <w:t>Заключение</w:t>
      </w:r>
      <w:bookmarkEnd w:id="9"/>
    </w:p>
    <w:p w:rsidR="0095792F" w:rsidRDefault="0095792F" w:rsidP="0095792F">
      <w:pPr>
        <w:ind w:firstLine="709"/>
      </w:pPr>
    </w:p>
    <w:p w:rsidR="002021AB" w:rsidRDefault="003E7E0C" w:rsidP="003E7E0C">
      <w:pPr>
        <w:ind w:firstLine="709"/>
      </w:pPr>
      <w:r>
        <w:t xml:space="preserve">Одним из направлений совершенствования методических подходов к оценке государственных программ является включение в качестве </w:t>
      </w:r>
      <w:proofErr w:type="gramStart"/>
      <w:r>
        <w:t>критерия эффективности показателей степени соответствия</w:t>
      </w:r>
      <w:proofErr w:type="gramEnd"/>
      <w:r>
        <w:t xml:space="preserve"> целям, утвержденным в документах стратегического планирования региона. Это позволяет дополнять типовую схему оценки программ (оценку результативности с позиции достижения установленных ответственными исполнителями целей и индикативных показателей, а также оценку эффективности использования бюджетных средств) аналитическим инструментарием, позволяющим определять вклад конкретной программы в достижение стратегических целей социально-экономического развития регионов.</w:t>
      </w:r>
    </w:p>
    <w:p w:rsidR="000E7CBA" w:rsidRPr="000E7CBA" w:rsidRDefault="000E7CBA" w:rsidP="000E7CBA">
      <w:pPr>
        <w:ind w:firstLine="709"/>
      </w:pPr>
      <w:r w:rsidRPr="000E7CBA">
        <w:t>Сегодня Россия в два раза отстает от стран с развитой экономикой по производительности труда. По данным Организации экономического сотрудничества и развития (ОЭСР), в 2016 году ВВП России в расчете на час работы составил $23,7, в среднем на каждого работника приходится 1 974 часа работы. Для сравнения, средний ВВП, произведенный за час рабочего времени в странах ОЭСР, составил 47,1 долл. США, при этом в среднем на каждого работника приходилось 1765 часов работы в год.</w:t>
      </w:r>
    </w:p>
    <w:p w:rsidR="000E7CBA" w:rsidRPr="000E7CBA" w:rsidRDefault="000E7CBA" w:rsidP="000E7CBA">
      <w:pPr>
        <w:ind w:firstLine="709"/>
      </w:pPr>
      <w:r w:rsidRPr="000E7CBA">
        <w:t>Можно выделить основные причины отставания в производительности труда.</w:t>
      </w:r>
    </w:p>
    <w:p w:rsidR="000E7CBA" w:rsidRPr="000E7CBA" w:rsidRDefault="000E7CBA" w:rsidP="000E7CBA">
      <w:pPr>
        <w:ind w:firstLine="709"/>
      </w:pPr>
      <w:r w:rsidRPr="000E7CBA">
        <w:t>1. Неэффективная организация работы.</w:t>
      </w:r>
    </w:p>
    <w:p w:rsidR="000E7CBA" w:rsidRPr="000E7CBA" w:rsidRDefault="000E7CBA" w:rsidP="000E7CBA">
      <w:pPr>
        <w:ind w:firstLine="709"/>
      </w:pPr>
      <w:r w:rsidRPr="000E7CBA">
        <w:t>2. Оборудование является устаревшей и неэффективной технологией</w:t>
      </w:r>
    </w:p>
    <w:p w:rsidR="000E7CBA" w:rsidRPr="000E7CBA" w:rsidRDefault="000E7CBA" w:rsidP="000E7CBA">
      <w:pPr>
        <w:ind w:firstLine="709"/>
      </w:pPr>
      <w:r w:rsidRPr="000E7CBA">
        <w:t>3. Структурные особенности российской экономики.</w:t>
      </w:r>
    </w:p>
    <w:p w:rsidR="000E7CBA" w:rsidRPr="000E7CBA" w:rsidRDefault="000E7CBA" w:rsidP="000E7CBA">
      <w:pPr>
        <w:ind w:firstLine="709"/>
      </w:pPr>
      <w:r w:rsidRPr="000E7CBA">
        <w:t xml:space="preserve">В рамках национального проекта "производительность труда и поддержка труда" предполагается обеспечить к 2024 году рост производительности труда средних и крупных предприятий </w:t>
      </w:r>
      <w:proofErr w:type="spellStart"/>
      <w:r w:rsidRPr="000E7CBA">
        <w:t>несырьевой</w:t>
      </w:r>
      <w:proofErr w:type="spellEnd"/>
      <w:r w:rsidRPr="000E7CBA">
        <w:t xml:space="preserve"> промышленности до уровня не менее 5% в год. Это пять секторов: сельское хозяйство, обрабатывающая промышленность, транспорт, торговля и строительство.</w:t>
      </w:r>
    </w:p>
    <w:p w:rsidR="000E7CBA" w:rsidRPr="000E7CBA" w:rsidRDefault="000E7CBA" w:rsidP="000E7CBA">
      <w:pPr>
        <w:ind w:firstLine="709"/>
      </w:pPr>
      <w:r w:rsidRPr="000E7CBA">
        <w:lastRenderedPageBreak/>
        <w:t xml:space="preserve">Традиционно наиболее успешными в России были </w:t>
      </w:r>
      <w:proofErr w:type="spellStart"/>
      <w:r w:rsidRPr="000E7CBA">
        <w:t>экспортно</w:t>
      </w:r>
      <w:proofErr w:type="spellEnd"/>
      <w:r w:rsidRPr="000E7CBA">
        <w:t xml:space="preserve"> - ориентированные предприятия сырьевого сектора. Они имеют возможность привлекать инвестиции в развитие производственных технологий, новое оборудование, инновации.</w:t>
      </w:r>
    </w:p>
    <w:p w:rsidR="000E7CBA" w:rsidRPr="000E7CBA" w:rsidRDefault="000E7CBA" w:rsidP="000E7CBA">
      <w:pPr>
        <w:ind w:firstLine="709"/>
      </w:pPr>
      <w:r w:rsidRPr="000E7CBA">
        <w:t xml:space="preserve">Однако сырье и товары, являющиеся лишь одним из первых звеньев в цепи производства конечного продукта. На каждом этапе цепочки создается добавленная стоимость, и чем больше в стране конечных продуктов, тем больше ВВП. На долю пяти базовых </w:t>
      </w:r>
      <w:proofErr w:type="spellStart"/>
      <w:r w:rsidRPr="000E7CBA">
        <w:t>несырьевых</w:t>
      </w:r>
      <w:proofErr w:type="spellEnd"/>
      <w:r w:rsidRPr="000E7CBA">
        <w:t xml:space="preserve"> отраслей приходится 41% ВВП России, по данным на 2017 год, их занято 40,5 </w:t>
      </w:r>
      <w:proofErr w:type="gramStart"/>
      <w:r w:rsidRPr="000E7CBA">
        <w:t>млн</w:t>
      </w:r>
      <w:proofErr w:type="gramEnd"/>
      <w:r w:rsidRPr="000E7CBA">
        <w:t xml:space="preserve"> человек (56% от общего числа занятых). Между тем, на долю добывающего сектора приходится всего 9% ВВП и занято 1,1 </w:t>
      </w:r>
      <w:proofErr w:type="gramStart"/>
      <w:r w:rsidRPr="000E7CBA">
        <w:t>млн</w:t>
      </w:r>
      <w:proofErr w:type="gramEnd"/>
      <w:r w:rsidRPr="000E7CBA">
        <w:t xml:space="preserve"> человек (2% занятых)</w:t>
      </w:r>
    </w:p>
    <w:p w:rsidR="000E7CBA" w:rsidRPr="000E7CBA" w:rsidRDefault="000E7CBA" w:rsidP="000E7CBA">
      <w:pPr>
        <w:ind w:firstLine="709"/>
      </w:pPr>
      <w:r w:rsidRPr="000E7CBA">
        <w:t xml:space="preserve">Сокращение разрыва с развитыми странами в </w:t>
      </w:r>
      <w:proofErr w:type="spellStart"/>
      <w:r w:rsidRPr="000E7CBA">
        <w:t>несырьевых</w:t>
      </w:r>
      <w:proofErr w:type="spellEnd"/>
      <w:r w:rsidRPr="000E7CBA">
        <w:t xml:space="preserve"> отраслях, с учетом их вклада в ВВП, позволит существенно ускорить темпы роста экономики. Тем более что </w:t>
      </w:r>
      <w:proofErr w:type="spellStart"/>
      <w:r w:rsidRPr="000E7CBA">
        <w:t>несырьевые</w:t>
      </w:r>
      <w:proofErr w:type="spellEnd"/>
      <w:r w:rsidRPr="000E7CBA">
        <w:t xml:space="preserve"> отрасли обладают </w:t>
      </w:r>
      <w:proofErr w:type="gramStart"/>
      <w:r w:rsidRPr="000E7CBA">
        <w:t>гораздо большим</w:t>
      </w:r>
      <w:proofErr w:type="gramEnd"/>
      <w:r w:rsidRPr="000E7CBA">
        <w:t xml:space="preserve"> потенциалом повышения производительности труда, чем сырьевые. Помимо наращивания объемов производства при сохранении уровня затрат рост производительности труда является залогом увеличения доходов населения.</w:t>
      </w:r>
    </w:p>
    <w:p w:rsidR="000E7CBA" w:rsidRPr="000E7CBA" w:rsidRDefault="000E7CBA" w:rsidP="000E7CBA">
      <w:pPr>
        <w:ind w:firstLine="709"/>
      </w:pPr>
      <w:r w:rsidRPr="000E7CBA">
        <w:t>В то же время производительность труда может быть повышена методами, не требующими значительных инвестиций со стороны предприятий и государства. Одним из них является внедрение культуры бережливого производства и системы непрерывного совершенствования процессов на предприятиях.</w:t>
      </w:r>
    </w:p>
    <w:p w:rsidR="000E7CBA" w:rsidRDefault="000E7CBA" w:rsidP="003E7E0C">
      <w:pPr>
        <w:ind w:firstLine="709"/>
      </w:pPr>
    </w:p>
    <w:p w:rsidR="0095792F" w:rsidRDefault="0095792F">
      <w:pPr>
        <w:spacing w:after="200" w:line="276" w:lineRule="auto"/>
        <w:jc w:val="left"/>
      </w:pPr>
      <w:r>
        <w:br w:type="page"/>
      </w:r>
    </w:p>
    <w:p w:rsidR="0095792F" w:rsidRDefault="0095792F" w:rsidP="0095792F">
      <w:pPr>
        <w:pStyle w:val="1"/>
      </w:pPr>
      <w:bookmarkStart w:id="10" w:name="_Toc31379404"/>
      <w:r>
        <w:lastRenderedPageBreak/>
        <w:t>Список литературы</w:t>
      </w:r>
      <w:bookmarkEnd w:id="10"/>
    </w:p>
    <w:p w:rsidR="00F64749" w:rsidRPr="00F64749" w:rsidRDefault="00F64749" w:rsidP="00F64749"/>
    <w:p w:rsidR="00F64749" w:rsidRPr="00F64749" w:rsidRDefault="00F64749" w:rsidP="00F64749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F64749">
        <w:rPr>
          <w:rFonts w:cs="Times New Roman"/>
          <w:szCs w:val="28"/>
        </w:rPr>
        <w:t xml:space="preserve">  </w:t>
      </w:r>
      <w:proofErr w:type="gramStart"/>
      <w:r w:rsidRPr="00F64749">
        <w:rPr>
          <w:rFonts w:cs="Times New Roman"/>
          <w:szCs w:val="28"/>
        </w:rPr>
        <w:t>Конституция Российской Федерации (принята всенародным голосованием 12 декабря 1993 г.) (с учетом поправок, внесенных Законами Российской Федерации о поправках к Конституции Российской Федерации от 30 декабря 2008 г. № 6–ФКЗ, от 30 декабря 2008 г. № 7–ФКЗ, от 5 февраля 2014 г. № 2–ФКЗ, от 21 июля 2014 г. № 11–ФКЗ) // Собрание законодательства Российской Федерации. 2014. № 31. №т. 4398</w:t>
      </w:r>
      <w:proofErr w:type="gramEnd"/>
    </w:p>
    <w:p w:rsidR="002021AB" w:rsidRPr="00F64749" w:rsidRDefault="002021AB" w:rsidP="00F64749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F64749">
        <w:rPr>
          <w:rFonts w:cs="Times New Roman"/>
          <w:szCs w:val="28"/>
        </w:rPr>
        <w:t>Федеральный закон от 06.10.2003 № 131-ФЗ (ред. от 01.05.2019) "Об общих принципах организации местного самоуправления в Российской Федерации" // Собрание законодательства РОССИЙСКОЙ ФЕДЕРАЦИИ. 2003. № 40. Ст. 3822.</w:t>
      </w:r>
    </w:p>
    <w:p w:rsidR="002021AB" w:rsidRPr="00F64749" w:rsidRDefault="002021AB" w:rsidP="00F64749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F64749">
        <w:rPr>
          <w:rFonts w:cs="Times New Roman"/>
          <w:szCs w:val="28"/>
        </w:rPr>
        <w:t>Федеральный закон от 06.10.2003 № 131-ФЗ (ред. от 01.05.2019) "Об общих принципах организации местного самоуправления в Российской Федерации" // Собрание законодательства Российской Федерации. 2003. № 40. Ст. 3822.</w:t>
      </w:r>
    </w:p>
    <w:p w:rsidR="002021AB" w:rsidRPr="00F64749" w:rsidRDefault="002021AB" w:rsidP="00F64749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F64749">
        <w:rPr>
          <w:rFonts w:cs="Times New Roman"/>
          <w:szCs w:val="28"/>
        </w:rPr>
        <w:t xml:space="preserve">Федеральный закон от 28 июня 2014 г. № 172–ФЗ Российской Федерации "О стратегическом планировании в Российской Федерации" //Собрание законодательства Российской Федерации.2014. № 26. Ст. 3378 </w:t>
      </w:r>
    </w:p>
    <w:p w:rsidR="000E7CBA" w:rsidRPr="00825E66" w:rsidRDefault="000E7CBA" w:rsidP="000E7CBA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825E66">
        <w:rPr>
          <w:rFonts w:cs="Times New Roman"/>
          <w:szCs w:val="28"/>
        </w:rPr>
        <w:t xml:space="preserve">  Андреев, A.B. Основы региональной экономики Текст</w:t>
      </w:r>
      <w:proofErr w:type="gramStart"/>
      <w:r w:rsidRPr="00825E66">
        <w:rPr>
          <w:rFonts w:cs="Times New Roman"/>
          <w:szCs w:val="28"/>
        </w:rPr>
        <w:t xml:space="preserve">.: </w:t>
      </w:r>
      <w:proofErr w:type="gramEnd"/>
      <w:r w:rsidRPr="00825E66">
        <w:rPr>
          <w:rFonts w:cs="Times New Roman"/>
          <w:szCs w:val="28"/>
        </w:rPr>
        <w:t xml:space="preserve">учебное пособие / A.A. Андреев, Л.М. Борисова, Э.В. </w:t>
      </w:r>
      <w:proofErr w:type="spellStart"/>
      <w:r w:rsidRPr="00825E66">
        <w:rPr>
          <w:rFonts w:cs="Times New Roman"/>
          <w:szCs w:val="28"/>
        </w:rPr>
        <w:t>Плучевская</w:t>
      </w:r>
      <w:proofErr w:type="spellEnd"/>
      <w:r w:rsidRPr="00825E66">
        <w:rPr>
          <w:rFonts w:cs="Times New Roman"/>
          <w:szCs w:val="28"/>
        </w:rPr>
        <w:t>. М.: ЬСНОРУС, 2017. –336 с.</w:t>
      </w:r>
    </w:p>
    <w:p w:rsidR="000E7CBA" w:rsidRPr="00825E66" w:rsidRDefault="000E7CBA" w:rsidP="000E7CBA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825E66">
        <w:rPr>
          <w:rFonts w:cs="Times New Roman"/>
          <w:szCs w:val="28"/>
        </w:rPr>
        <w:t xml:space="preserve">  Гапоненко А. Л. Стратегия социально–экономического развития: страна, регион, город. – М.: РАГС, 2018. – 225 с.</w:t>
      </w:r>
    </w:p>
    <w:p w:rsidR="000E7CBA" w:rsidRPr="00825E66" w:rsidRDefault="000E7CBA" w:rsidP="000E7CBA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825E66">
        <w:rPr>
          <w:rFonts w:cs="Times New Roman"/>
          <w:szCs w:val="28"/>
        </w:rPr>
        <w:t xml:space="preserve">  </w:t>
      </w:r>
      <w:proofErr w:type="spellStart"/>
      <w:r w:rsidRPr="00825E66">
        <w:rPr>
          <w:rFonts w:cs="Times New Roman"/>
          <w:szCs w:val="28"/>
        </w:rPr>
        <w:t>Гранберг</w:t>
      </w:r>
      <w:proofErr w:type="spellEnd"/>
      <w:r w:rsidRPr="00825E66">
        <w:rPr>
          <w:rFonts w:cs="Times New Roman"/>
          <w:szCs w:val="28"/>
        </w:rPr>
        <w:t xml:space="preserve"> А. Г. Основы региональной экономики: учебник. – 7– е изд. –  М.: ГУ ВШЭ, 2015. – 495 с.</w:t>
      </w:r>
    </w:p>
    <w:p w:rsidR="000E7CBA" w:rsidRPr="00825E66" w:rsidRDefault="000E7CBA" w:rsidP="000E7CBA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825E66">
        <w:rPr>
          <w:rFonts w:cs="Times New Roman"/>
          <w:szCs w:val="28"/>
        </w:rPr>
        <w:t xml:space="preserve">  </w:t>
      </w:r>
      <w:proofErr w:type="gramStart"/>
      <w:r w:rsidRPr="00825E66">
        <w:rPr>
          <w:rFonts w:cs="Times New Roman"/>
          <w:szCs w:val="28"/>
        </w:rPr>
        <w:t xml:space="preserve">Конституция Российской Федерации (принята всенародным голосованием 12 декабря 1993 г.) (с учетом поправок, внесенных Законами Российской Федерации о поправках к Конституции Российской Федерации от 30 декабря 2008 г. № 6–ФКЗ, от 30 декабря 2008 г. № 7–ФКЗ, от 5 февраля 2014 </w:t>
      </w:r>
      <w:r w:rsidRPr="00825E66">
        <w:rPr>
          <w:rFonts w:cs="Times New Roman"/>
          <w:szCs w:val="28"/>
        </w:rPr>
        <w:lastRenderedPageBreak/>
        <w:t>г. № 2–ФКЗ, от 21 июля 2014 г. № 11–ФКЗ) // Собрание законодательства Российской Федерации. 2014. № 31. №т. 4398</w:t>
      </w:r>
      <w:proofErr w:type="gramEnd"/>
    </w:p>
    <w:p w:rsidR="000E7CBA" w:rsidRPr="00825E66" w:rsidRDefault="000E7CBA" w:rsidP="000E7CBA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825E66">
        <w:rPr>
          <w:rFonts w:cs="Times New Roman"/>
          <w:szCs w:val="28"/>
        </w:rPr>
        <w:t xml:space="preserve">  </w:t>
      </w:r>
      <w:proofErr w:type="spellStart"/>
      <w:r w:rsidRPr="00825E66">
        <w:rPr>
          <w:rFonts w:cs="Times New Roman"/>
          <w:szCs w:val="28"/>
        </w:rPr>
        <w:t>Лапо</w:t>
      </w:r>
      <w:proofErr w:type="spellEnd"/>
      <w:r w:rsidRPr="00825E66">
        <w:rPr>
          <w:rFonts w:cs="Times New Roman"/>
          <w:szCs w:val="28"/>
        </w:rPr>
        <w:t xml:space="preserve"> А.С., Федорова С.Ю. Совершенствование </w:t>
      </w:r>
      <w:proofErr w:type="gramStart"/>
      <w:r w:rsidRPr="00825E66">
        <w:rPr>
          <w:rFonts w:cs="Times New Roman"/>
          <w:szCs w:val="28"/>
        </w:rPr>
        <w:t>методических подходов</w:t>
      </w:r>
      <w:proofErr w:type="gramEnd"/>
      <w:r w:rsidRPr="00825E66">
        <w:rPr>
          <w:rFonts w:cs="Times New Roman"/>
          <w:szCs w:val="28"/>
        </w:rPr>
        <w:t xml:space="preserve"> к комплексной оценке эффективности реализации государственных программ субъектов РФ // Экономика и управление: теория и практика, 2019, Т.5. № 2. С. 18-24.</w:t>
      </w:r>
    </w:p>
    <w:p w:rsidR="000E7CBA" w:rsidRPr="00825E66" w:rsidRDefault="000E7CBA" w:rsidP="000E7CBA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825E66">
        <w:rPr>
          <w:rFonts w:cs="Times New Roman"/>
          <w:szCs w:val="28"/>
        </w:rPr>
        <w:t xml:space="preserve">  </w:t>
      </w:r>
      <w:proofErr w:type="spellStart"/>
      <w:r w:rsidRPr="00825E66">
        <w:rPr>
          <w:rFonts w:cs="Times New Roman"/>
          <w:szCs w:val="28"/>
        </w:rPr>
        <w:t>Масликов</w:t>
      </w:r>
      <w:proofErr w:type="spellEnd"/>
      <w:r w:rsidRPr="00825E66">
        <w:rPr>
          <w:rFonts w:cs="Times New Roman"/>
          <w:szCs w:val="28"/>
        </w:rPr>
        <w:t xml:space="preserve"> В.А.   Местное самоуправление в концепции устойчивого развития общества В сборнике: Территориальное общественное самоуправление в малых городах и сельских поселениях и его взаимодействие с органами местного самоуправления Сборник материалов общероссийской научно–практической конференции. Научно–исследовательский институт </w:t>
      </w:r>
      <w:proofErr w:type="spellStart"/>
      <w:r w:rsidRPr="00825E66">
        <w:rPr>
          <w:rFonts w:cs="Times New Roman"/>
          <w:szCs w:val="28"/>
        </w:rPr>
        <w:t>государствоведения</w:t>
      </w:r>
      <w:proofErr w:type="spellEnd"/>
      <w:r w:rsidRPr="00825E66">
        <w:rPr>
          <w:rFonts w:cs="Times New Roman"/>
          <w:szCs w:val="28"/>
        </w:rPr>
        <w:t xml:space="preserve"> и местного самоуправления. 2017. С. 30–36.</w:t>
      </w:r>
    </w:p>
    <w:p w:rsidR="000E7CBA" w:rsidRPr="00825E66" w:rsidRDefault="000E7CBA" w:rsidP="000E7CBA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825E66">
        <w:rPr>
          <w:rFonts w:cs="Times New Roman"/>
          <w:szCs w:val="28"/>
        </w:rPr>
        <w:t xml:space="preserve">  </w:t>
      </w:r>
      <w:proofErr w:type="spellStart"/>
      <w:r w:rsidRPr="00825E66">
        <w:rPr>
          <w:rFonts w:cs="Times New Roman"/>
          <w:szCs w:val="28"/>
        </w:rPr>
        <w:t>Масликов</w:t>
      </w:r>
      <w:proofErr w:type="spellEnd"/>
      <w:r w:rsidRPr="00825E66">
        <w:rPr>
          <w:rFonts w:cs="Times New Roman"/>
          <w:szCs w:val="28"/>
        </w:rPr>
        <w:t xml:space="preserve"> В.А.   Местное самоуправление в концепции устойчивого развития общества В сборнике: Территориальное общественное самоуправление в малых городах и сельских поселениях и его взаимодействие с органами местного самоуправления Сборник материалов общероссийской научно–практической конференции. Научно–исследовательский институт </w:t>
      </w:r>
      <w:proofErr w:type="spellStart"/>
      <w:r w:rsidRPr="00825E66">
        <w:rPr>
          <w:rFonts w:cs="Times New Roman"/>
          <w:szCs w:val="28"/>
        </w:rPr>
        <w:t>государствоведения</w:t>
      </w:r>
      <w:proofErr w:type="spellEnd"/>
      <w:r w:rsidRPr="00825E66">
        <w:rPr>
          <w:rFonts w:cs="Times New Roman"/>
          <w:szCs w:val="28"/>
        </w:rPr>
        <w:t xml:space="preserve"> и местного масоуправления.2017. С.30–36</w:t>
      </w:r>
    </w:p>
    <w:p w:rsidR="000E7CBA" w:rsidRPr="00825E66" w:rsidRDefault="000E7CBA" w:rsidP="000E7CBA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825E66">
        <w:rPr>
          <w:rFonts w:cs="Times New Roman"/>
          <w:szCs w:val="28"/>
        </w:rPr>
        <w:t xml:space="preserve">  Повестка дня на 21 век. – Режим доступа: URL: http://www.u№.org/ru/docume№ts/decl_co№v/co№ve№tio№s/age№da21_ch28.shtml (Дата доступа 09.05.2019)</w:t>
      </w:r>
    </w:p>
    <w:p w:rsidR="000E7CBA" w:rsidRPr="00825E66" w:rsidRDefault="000E7CBA" w:rsidP="000E7CBA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825E66">
        <w:rPr>
          <w:rFonts w:cs="Times New Roman"/>
          <w:szCs w:val="28"/>
        </w:rPr>
        <w:t xml:space="preserve">  Портал госпрограмм [Электронный ресурс] https://programs.gov.ru/Portal/programs/documents</w:t>
      </w:r>
    </w:p>
    <w:p w:rsidR="00825E66" w:rsidRPr="00825E66" w:rsidRDefault="00825E66" w:rsidP="00825E66">
      <w:pPr>
        <w:numPr>
          <w:ilvl w:val="0"/>
          <w:numId w:val="4"/>
        </w:numPr>
        <w:rPr>
          <w:rFonts w:cs="Times New Roman"/>
          <w:szCs w:val="28"/>
        </w:rPr>
      </w:pPr>
      <w:r w:rsidRPr="00825E66">
        <w:rPr>
          <w:rFonts w:cs="Times New Roman"/>
          <w:szCs w:val="28"/>
        </w:rPr>
        <w:t xml:space="preserve">  http://www.up-pro.ru/library/production_management/productivity/itogi-plany-2017.html</w:t>
      </w:r>
    </w:p>
    <w:p w:rsidR="00825E66" w:rsidRPr="00825E66" w:rsidRDefault="00825E66" w:rsidP="00825E66">
      <w:pPr>
        <w:numPr>
          <w:ilvl w:val="0"/>
          <w:numId w:val="4"/>
        </w:numPr>
        <w:rPr>
          <w:rFonts w:cs="Times New Roman"/>
          <w:szCs w:val="28"/>
        </w:rPr>
      </w:pPr>
      <w:r w:rsidRPr="00825E66">
        <w:rPr>
          <w:rFonts w:cs="Times New Roman"/>
          <w:szCs w:val="28"/>
        </w:rPr>
        <w:t xml:space="preserve">  ttp://www.umpro.ru/index.php?page_id=17&amp;art_id_1=864&amp;group_id_4=110</w:t>
      </w:r>
    </w:p>
    <w:p w:rsidR="00825E66" w:rsidRPr="00825E66" w:rsidRDefault="00825E66" w:rsidP="00825E66">
      <w:pPr>
        <w:numPr>
          <w:ilvl w:val="0"/>
          <w:numId w:val="4"/>
        </w:numPr>
        <w:rPr>
          <w:rFonts w:cs="Times New Roman"/>
          <w:szCs w:val="28"/>
        </w:rPr>
      </w:pPr>
      <w:r w:rsidRPr="00825E66">
        <w:rPr>
          <w:rFonts w:cs="Times New Roman"/>
          <w:szCs w:val="28"/>
        </w:rPr>
        <w:t xml:space="preserve">  https://www.rbc.ru/economics/17/03/2018/5aabb72c9a7947688603c588</w:t>
      </w:r>
    </w:p>
    <w:p w:rsidR="00825E66" w:rsidRPr="00F64749" w:rsidRDefault="00825E66" w:rsidP="00825E66">
      <w:pPr>
        <w:numPr>
          <w:ilvl w:val="0"/>
          <w:numId w:val="4"/>
        </w:numPr>
        <w:rPr>
          <w:rFonts w:cs="Times New Roman"/>
          <w:szCs w:val="28"/>
        </w:rPr>
      </w:pPr>
      <w:r w:rsidRPr="00825E66">
        <w:rPr>
          <w:rFonts w:cs="Times New Roman"/>
          <w:szCs w:val="28"/>
        </w:rPr>
        <w:t xml:space="preserve">  http://government.ru/rugovclassifier/615/events/</w:t>
      </w:r>
    </w:p>
    <w:p w:rsidR="000E7CBA" w:rsidRPr="00A43A3D" w:rsidRDefault="000E7CBA" w:rsidP="00F64749">
      <w:pPr>
        <w:ind w:firstLine="709"/>
      </w:pPr>
    </w:p>
    <w:sectPr w:rsidR="000E7CBA" w:rsidRPr="00A43A3D" w:rsidSect="00237FFA">
      <w:footerReference w:type="default" r:id="rId22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FA" w:rsidRDefault="000279FA" w:rsidP="00DA1432">
      <w:pPr>
        <w:spacing w:line="240" w:lineRule="auto"/>
      </w:pPr>
      <w:r>
        <w:separator/>
      </w:r>
    </w:p>
  </w:endnote>
  <w:endnote w:type="continuationSeparator" w:id="0">
    <w:p w:rsidR="000279FA" w:rsidRDefault="000279FA" w:rsidP="00DA1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804590"/>
      <w:docPartObj>
        <w:docPartGallery w:val="Page Numbers (Bottom of Page)"/>
        <w:docPartUnique/>
      </w:docPartObj>
    </w:sdtPr>
    <w:sdtContent>
      <w:p w:rsidR="00923279" w:rsidRDefault="00923279" w:rsidP="00DA14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CBA">
          <w:rPr>
            <w:noProof/>
          </w:rPr>
          <w:t>28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FA" w:rsidRDefault="000279FA" w:rsidP="00DA1432">
      <w:pPr>
        <w:spacing w:line="240" w:lineRule="auto"/>
      </w:pPr>
      <w:r>
        <w:separator/>
      </w:r>
    </w:p>
  </w:footnote>
  <w:footnote w:type="continuationSeparator" w:id="0">
    <w:p w:rsidR="000279FA" w:rsidRDefault="000279FA" w:rsidP="00DA1432">
      <w:pPr>
        <w:spacing w:line="240" w:lineRule="auto"/>
      </w:pPr>
      <w:r>
        <w:continuationSeparator/>
      </w:r>
    </w:p>
  </w:footnote>
  <w:footnote w:id="1">
    <w:p w:rsidR="00923279" w:rsidRPr="0071628A" w:rsidRDefault="00923279" w:rsidP="003E7E0C">
      <w:pPr>
        <w:tabs>
          <w:tab w:val="left" w:pos="749"/>
        </w:tabs>
        <w:spacing w:line="266" w:lineRule="auto"/>
        <w:ind w:left="7" w:right="20"/>
        <w:jc w:val="left"/>
        <w:rPr>
          <w:rFonts w:cs="Times New Roman"/>
          <w:szCs w:val="20"/>
        </w:rPr>
      </w:pPr>
      <w:r w:rsidRPr="00AB4CEE">
        <w:rPr>
          <w:rStyle w:val="ad"/>
          <w:rFonts w:cs="Times New Roman"/>
          <w:szCs w:val="20"/>
        </w:rPr>
        <w:footnoteRef/>
      </w:r>
      <w:r w:rsidRPr="00AB4CEE">
        <w:rPr>
          <w:rFonts w:cs="Times New Roman"/>
          <w:szCs w:val="20"/>
        </w:rPr>
        <w:t xml:space="preserve"> </w:t>
      </w:r>
      <w:r w:rsidRPr="00AB4CEE">
        <w:rPr>
          <w:rFonts w:eastAsia="Times New Roman" w:cs="Times New Roman"/>
          <w:szCs w:val="20"/>
        </w:rPr>
        <w:t xml:space="preserve">Повестка дня на </w:t>
      </w:r>
      <w:r w:rsidRPr="00AB4CEE">
        <w:rPr>
          <w:rFonts w:eastAsia="Times" w:cs="Times New Roman"/>
          <w:szCs w:val="20"/>
        </w:rPr>
        <w:t>21</w:t>
      </w:r>
      <w:r w:rsidRPr="00AB4CEE">
        <w:rPr>
          <w:rFonts w:eastAsia="Times New Roman" w:cs="Times New Roman"/>
          <w:szCs w:val="20"/>
        </w:rPr>
        <w:t xml:space="preserve"> век</w:t>
      </w:r>
      <w:r w:rsidRPr="00AB4CEE">
        <w:rPr>
          <w:rFonts w:eastAsia="Times" w:cs="Times New Roman"/>
          <w:szCs w:val="20"/>
        </w:rPr>
        <w:t>. –</w:t>
      </w:r>
      <w:r w:rsidRPr="00AB4CEE">
        <w:rPr>
          <w:rFonts w:eastAsia="Times New Roman" w:cs="Times New Roman"/>
          <w:szCs w:val="20"/>
        </w:rPr>
        <w:t xml:space="preserve"> Режим доступа</w:t>
      </w:r>
      <w:r w:rsidRPr="00AB4CEE">
        <w:rPr>
          <w:rFonts w:eastAsia="Times" w:cs="Times New Roman"/>
          <w:szCs w:val="20"/>
        </w:rPr>
        <w:t xml:space="preserve">: </w:t>
      </w:r>
      <w:r w:rsidRPr="00AB4CEE">
        <w:rPr>
          <w:rFonts w:eastAsia="Times" w:cs="Times New Roman"/>
          <w:szCs w:val="20"/>
          <w:lang w:val="en-US"/>
        </w:rPr>
        <w:t>URL</w:t>
      </w:r>
      <w:r w:rsidRPr="00AB4CEE">
        <w:rPr>
          <w:rFonts w:eastAsia="Times" w:cs="Times New Roman"/>
          <w:szCs w:val="20"/>
        </w:rPr>
        <w:t>:</w:t>
      </w:r>
      <w:r>
        <w:rPr>
          <w:rFonts w:eastAsia="Times New Roman" w:cs="Times New Roman"/>
          <w:szCs w:val="20"/>
        </w:rPr>
        <w:t xml:space="preserve"> </w:t>
      </w:r>
      <w:r w:rsidRPr="00AB4CEE">
        <w:rPr>
          <w:rFonts w:eastAsia="Times" w:cs="Times New Roman"/>
          <w:szCs w:val="20"/>
          <w:lang w:val="en-US"/>
        </w:rPr>
        <w:t>http</w:t>
      </w:r>
      <w:r w:rsidRPr="00AB4CEE">
        <w:rPr>
          <w:rFonts w:eastAsia="Times" w:cs="Times New Roman"/>
          <w:szCs w:val="20"/>
        </w:rPr>
        <w:t>://</w:t>
      </w:r>
      <w:r w:rsidRPr="00AB4CEE">
        <w:rPr>
          <w:rFonts w:eastAsia="Times" w:cs="Times New Roman"/>
          <w:szCs w:val="20"/>
          <w:lang w:val="en-US"/>
        </w:rPr>
        <w:t>www</w:t>
      </w:r>
      <w:r w:rsidRPr="00AB4CEE">
        <w:rPr>
          <w:rFonts w:eastAsia="Times" w:cs="Times New Roman"/>
          <w:szCs w:val="20"/>
        </w:rPr>
        <w:t>.</w:t>
      </w:r>
      <w:r w:rsidRPr="00AB4CEE">
        <w:rPr>
          <w:rFonts w:eastAsia="Times" w:cs="Times New Roman"/>
          <w:szCs w:val="20"/>
          <w:lang w:val="en-US"/>
        </w:rPr>
        <w:t>u</w:t>
      </w:r>
      <w:r w:rsidRPr="00AB4CEE">
        <w:rPr>
          <w:rFonts w:eastAsia="Times" w:cs="Times New Roman"/>
          <w:szCs w:val="20"/>
        </w:rPr>
        <w:t>№.</w:t>
      </w:r>
      <w:r w:rsidRPr="00AB4CEE">
        <w:rPr>
          <w:rFonts w:eastAsia="Times" w:cs="Times New Roman"/>
          <w:szCs w:val="20"/>
          <w:lang w:val="en-US"/>
        </w:rPr>
        <w:t>org</w:t>
      </w:r>
      <w:r w:rsidRPr="00AB4CEE">
        <w:rPr>
          <w:rFonts w:eastAsia="Times" w:cs="Times New Roman"/>
          <w:szCs w:val="20"/>
        </w:rPr>
        <w:t>/</w:t>
      </w:r>
      <w:proofErr w:type="spellStart"/>
      <w:r w:rsidRPr="00AB4CEE">
        <w:rPr>
          <w:rFonts w:eastAsia="Times" w:cs="Times New Roman"/>
          <w:szCs w:val="20"/>
          <w:lang w:val="en-US"/>
        </w:rPr>
        <w:t>ru</w:t>
      </w:r>
      <w:proofErr w:type="spellEnd"/>
      <w:r w:rsidRPr="00AB4CEE">
        <w:rPr>
          <w:rFonts w:eastAsia="Times" w:cs="Times New Roman"/>
          <w:szCs w:val="20"/>
        </w:rPr>
        <w:t>/</w:t>
      </w:r>
      <w:proofErr w:type="spellStart"/>
      <w:r w:rsidRPr="00AB4CEE">
        <w:rPr>
          <w:rFonts w:eastAsia="Times" w:cs="Times New Roman"/>
          <w:szCs w:val="20"/>
          <w:lang w:val="en-US"/>
        </w:rPr>
        <w:t>docume</w:t>
      </w:r>
      <w:proofErr w:type="spellEnd"/>
      <w:r w:rsidRPr="00AB4CEE">
        <w:rPr>
          <w:rFonts w:eastAsia="Times" w:cs="Times New Roman"/>
          <w:szCs w:val="20"/>
        </w:rPr>
        <w:t>№</w:t>
      </w:r>
      <w:proofErr w:type="spellStart"/>
      <w:r w:rsidRPr="00AB4CEE">
        <w:rPr>
          <w:rFonts w:eastAsia="Times" w:cs="Times New Roman"/>
          <w:szCs w:val="20"/>
          <w:lang w:val="en-US"/>
        </w:rPr>
        <w:t>ts</w:t>
      </w:r>
      <w:proofErr w:type="spellEnd"/>
      <w:r w:rsidRPr="00AB4CEE">
        <w:rPr>
          <w:rFonts w:eastAsia="Times" w:cs="Times New Roman"/>
          <w:szCs w:val="20"/>
        </w:rPr>
        <w:t>/</w:t>
      </w:r>
      <w:proofErr w:type="spellStart"/>
      <w:r w:rsidRPr="00AB4CEE">
        <w:rPr>
          <w:rFonts w:eastAsia="Times" w:cs="Times New Roman"/>
          <w:szCs w:val="20"/>
          <w:lang w:val="en-US"/>
        </w:rPr>
        <w:t>decl</w:t>
      </w:r>
      <w:proofErr w:type="spellEnd"/>
      <w:r w:rsidRPr="00AB4CEE">
        <w:rPr>
          <w:rFonts w:eastAsia="Times" w:cs="Times New Roman"/>
          <w:szCs w:val="20"/>
        </w:rPr>
        <w:t>_</w:t>
      </w:r>
      <w:r w:rsidRPr="00AB4CEE">
        <w:rPr>
          <w:rFonts w:eastAsia="Times" w:cs="Times New Roman"/>
          <w:szCs w:val="20"/>
          <w:lang w:val="en-US"/>
        </w:rPr>
        <w:t>co</w:t>
      </w:r>
      <w:r w:rsidRPr="00AB4CEE">
        <w:rPr>
          <w:rFonts w:eastAsia="Times" w:cs="Times New Roman"/>
          <w:szCs w:val="20"/>
        </w:rPr>
        <w:t>№</w:t>
      </w:r>
      <w:r w:rsidRPr="00AB4CEE">
        <w:rPr>
          <w:rFonts w:eastAsia="Times" w:cs="Times New Roman"/>
          <w:szCs w:val="20"/>
          <w:lang w:val="en-US"/>
        </w:rPr>
        <w:t>v</w:t>
      </w:r>
      <w:r w:rsidRPr="00AB4CEE">
        <w:rPr>
          <w:rFonts w:eastAsia="Times" w:cs="Times New Roman"/>
          <w:szCs w:val="20"/>
        </w:rPr>
        <w:t>/</w:t>
      </w:r>
      <w:r w:rsidRPr="00AB4CEE">
        <w:rPr>
          <w:rFonts w:eastAsia="Times" w:cs="Times New Roman"/>
          <w:szCs w:val="20"/>
          <w:lang w:val="en-US"/>
        </w:rPr>
        <w:t>co</w:t>
      </w:r>
      <w:r w:rsidRPr="00AB4CEE">
        <w:rPr>
          <w:rFonts w:eastAsia="Times" w:cs="Times New Roman"/>
          <w:szCs w:val="20"/>
        </w:rPr>
        <w:t>№</w:t>
      </w:r>
      <w:proofErr w:type="spellStart"/>
      <w:r w:rsidRPr="00AB4CEE">
        <w:rPr>
          <w:rFonts w:eastAsia="Times" w:cs="Times New Roman"/>
          <w:szCs w:val="20"/>
          <w:lang w:val="en-US"/>
        </w:rPr>
        <w:t>ve</w:t>
      </w:r>
      <w:proofErr w:type="spellEnd"/>
      <w:r w:rsidRPr="00AB4CEE">
        <w:rPr>
          <w:rFonts w:eastAsia="Times" w:cs="Times New Roman"/>
          <w:szCs w:val="20"/>
        </w:rPr>
        <w:t>№</w:t>
      </w:r>
      <w:proofErr w:type="spellStart"/>
      <w:r w:rsidRPr="00AB4CEE">
        <w:rPr>
          <w:rFonts w:eastAsia="Times" w:cs="Times New Roman"/>
          <w:szCs w:val="20"/>
          <w:lang w:val="en-US"/>
        </w:rPr>
        <w:t>tio</w:t>
      </w:r>
      <w:proofErr w:type="spellEnd"/>
      <w:r w:rsidRPr="00AB4CEE">
        <w:rPr>
          <w:rFonts w:eastAsia="Times" w:cs="Times New Roman"/>
          <w:szCs w:val="20"/>
        </w:rPr>
        <w:t>№</w:t>
      </w:r>
      <w:r w:rsidRPr="00AB4CEE">
        <w:rPr>
          <w:rFonts w:eastAsia="Times" w:cs="Times New Roman"/>
          <w:szCs w:val="20"/>
          <w:lang w:val="en-US"/>
        </w:rPr>
        <w:t>s</w:t>
      </w:r>
      <w:r w:rsidRPr="00AB4CEE">
        <w:rPr>
          <w:rFonts w:eastAsia="Times" w:cs="Times New Roman"/>
          <w:szCs w:val="20"/>
        </w:rPr>
        <w:t>/</w:t>
      </w:r>
      <w:r w:rsidRPr="00AB4CEE">
        <w:rPr>
          <w:rFonts w:eastAsia="Times" w:cs="Times New Roman"/>
          <w:szCs w:val="20"/>
          <w:lang w:val="en-US"/>
        </w:rPr>
        <w:t>age</w:t>
      </w:r>
      <w:r w:rsidRPr="00AB4CEE">
        <w:rPr>
          <w:rFonts w:eastAsia="Times" w:cs="Times New Roman"/>
          <w:szCs w:val="20"/>
        </w:rPr>
        <w:t>№</w:t>
      </w:r>
      <w:r w:rsidRPr="00AB4CEE">
        <w:rPr>
          <w:rFonts w:eastAsia="Times" w:cs="Times New Roman"/>
          <w:szCs w:val="20"/>
          <w:lang w:val="en-US"/>
        </w:rPr>
        <w:t>da</w:t>
      </w:r>
      <w:r w:rsidRPr="00AB4CEE">
        <w:rPr>
          <w:rFonts w:eastAsia="Times" w:cs="Times New Roman"/>
          <w:szCs w:val="20"/>
        </w:rPr>
        <w:t>21_</w:t>
      </w:r>
      <w:proofErr w:type="spellStart"/>
      <w:r w:rsidRPr="00AB4CEE">
        <w:rPr>
          <w:rFonts w:eastAsia="Times" w:cs="Times New Roman"/>
          <w:szCs w:val="20"/>
          <w:lang w:val="en-US"/>
        </w:rPr>
        <w:t>ch</w:t>
      </w:r>
      <w:proofErr w:type="spellEnd"/>
      <w:r w:rsidRPr="00AB4CEE">
        <w:rPr>
          <w:rFonts w:eastAsia="Times" w:cs="Times New Roman"/>
          <w:szCs w:val="20"/>
        </w:rPr>
        <w:t>28.</w:t>
      </w:r>
      <w:proofErr w:type="spellStart"/>
      <w:r w:rsidRPr="00AB4CEE">
        <w:rPr>
          <w:rFonts w:eastAsia="Times" w:cs="Times New Roman"/>
          <w:szCs w:val="20"/>
          <w:lang w:val="en-US"/>
        </w:rPr>
        <w:t>shtml</w:t>
      </w:r>
      <w:proofErr w:type="spellEnd"/>
      <w:r w:rsidRPr="00AB4CEE">
        <w:rPr>
          <w:rFonts w:eastAsia="Times" w:cs="Times New Roman"/>
          <w:szCs w:val="20"/>
        </w:rPr>
        <w:t xml:space="preserve"> (Дата доступа 09.05.2019)</w:t>
      </w:r>
    </w:p>
  </w:footnote>
  <w:footnote w:id="2">
    <w:p w:rsidR="00923279" w:rsidRDefault="00923279" w:rsidP="003E7E0C">
      <w:pPr>
        <w:pStyle w:val="ab"/>
      </w:pPr>
      <w:r>
        <w:rPr>
          <w:rStyle w:val="ad"/>
        </w:rPr>
        <w:footnoteRef/>
      </w:r>
      <w:r>
        <w:t xml:space="preserve"> </w:t>
      </w:r>
      <w:r w:rsidRPr="0024573A">
        <w:t>Андреев, A.B. Основы региональной экономики Текст</w:t>
      </w:r>
      <w:proofErr w:type="gramStart"/>
      <w:r w:rsidRPr="0024573A">
        <w:t xml:space="preserve">.: </w:t>
      </w:r>
      <w:proofErr w:type="gramEnd"/>
      <w:r w:rsidRPr="0024573A">
        <w:t xml:space="preserve">учебное пособие / A.A. Андреев, Л.М. Борисова, Э.В. </w:t>
      </w:r>
      <w:proofErr w:type="spellStart"/>
      <w:r w:rsidRPr="0024573A">
        <w:t>Плучевская</w:t>
      </w:r>
      <w:proofErr w:type="spellEnd"/>
      <w:r w:rsidRPr="0024573A">
        <w:t xml:space="preserve">. М.: ЬСНОРУС, 2017. </w:t>
      </w:r>
      <w:r>
        <w:t>–</w:t>
      </w:r>
      <w:r w:rsidRPr="0024573A">
        <w:t>336 с.</w:t>
      </w:r>
    </w:p>
  </w:footnote>
  <w:footnote w:id="3">
    <w:p w:rsidR="00923279" w:rsidRPr="0071628A" w:rsidRDefault="00923279" w:rsidP="003E7E0C">
      <w:pPr>
        <w:pStyle w:val="ab"/>
        <w:rPr>
          <w:rFonts w:cs="Times New Roman"/>
        </w:rPr>
      </w:pPr>
      <w:r w:rsidRPr="0071628A">
        <w:rPr>
          <w:rStyle w:val="ad"/>
          <w:rFonts w:cs="Times New Roman"/>
        </w:rPr>
        <w:footnoteRef/>
      </w:r>
      <w:r w:rsidRPr="0071628A">
        <w:rPr>
          <w:rFonts w:cs="Times New Roman"/>
        </w:rPr>
        <w:t xml:space="preserve"> </w:t>
      </w:r>
      <w:proofErr w:type="spellStart"/>
      <w:r w:rsidRPr="0071628A">
        <w:rPr>
          <w:rFonts w:cs="Times New Roman"/>
        </w:rPr>
        <w:t>Гранберг</w:t>
      </w:r>
      <w:proofErr w:type="spellEnd"/>
      <w:r w:rsidRPr="0071628A">
        <w:rPr>
          <w:rFonts w:cs="Times New Roman"/>
        </w:rPr>
        <w:t xml:space="preserve"> А. Г. Основы региональной экономики: учебник. – 7</w:t>
      </w:r>
      <w:r>
        <w:rPr>
          <w:rFonts w:cs="Times New Roman"/>
        </w:rPr>
        <w:t>–</w:t>
      </w:r>
      <w:r w:rsidRPr="0071628A">
        <w:rPr>
          <w:rFonts w:cs="Times New Roman"/>
        </w:rPr>
        <w:t xml:space="preserve"> е и</w:t>
      </w:r>
      <w:r>
        <w:rPr>
          <w:rFonts w:cs="Times New Roman"/>
        </w:rPr>
        <w:t xml:space="preserve">зд. –  М.: ГУ ВШЭ, 2015. – 495 </w:t>
      </w:r>
      <w:r w:rsidRPr="0071628A">
        <w:rPr>
          <w:rFonts w:cs="Times New Roman"/>
        </w:rPr>
        <w:t>с.</w:t>
      </w:r>
    </w:p>
  </w:footnote>
  <w:footnote w:id="4">
    <w:p w:rsidR="00923279" w:rsidRPr="0071628A" w:rsidRDefault="00923279" w:rsidP="003E7E0C">
      <w:pPr>
        <w:pStyle w:val="ab"/>
        <w:rPr>
          <w:rFonts w:cs="Times New Roman"/>
        </w:rPr>
      </w:pPr>
      <w:r w:rsidRPr="0071628A">
        <w:rPr>
          <w:rStyle w:val="ad"/>
          <w:rFonts w:cs="Times New Roman"/>
        </w:rPr>
        <w:footnoteRef/>
      </w:r>
      <w:r w:rsidRPr="0071628A">
        <w:rPr>
          <w:rFonts w:cs="Times New Roman"/>
        </w:rPr>
        <w:t xml:space="preserve"> Гапоненко А. Л. Стратегия социально</w:t>
      </w:r>
      <w:r>
        <w:rPr>
          <w:rFonts w:cs="Times New Roman"/>
        </w:rPr>
        <w:t>–</w:t>
      </w:r>
      <w:r w:rsidRPr="0071628A">
        <w:rPr>
          <w:rFonts w:cs="Times New Roman"/>
        </w:rPr>
        <w:t xml:space="preserve">экономического развития: страна, регион, </w:t>
      </w:r>
      <w:r>
        <w:rPr>
          <w:rFonts w:cs="Times New Roman"/>
        </w:rPr>
        <w:t xml:space="preserve">город. – М.: РАГС, 2018. – 225 </w:t>
      </w:r>
      <w:r w:rsidRPr="0071628A">
        <w:rPr>
          <w:rFonts w:cs="Times New Roman"/>
        </w:rPr>
        <w:t>с.</w:t>
      </w:r>
    </w:p>
  </w:footnote>
  <w:footnote w:id="5">
    <w:p w:rsidR="00923279" w:rsidRDefault="00923279" w:rsidP="003E7E0C">
      <w:pPr>
        <w:pStyle w:val="ab"/>
      </w:pPr>
      <w:r>
        <w:rPr>
          <w:rStyle w:val="ad"/>
        </w:rPr>
        <w:footnoteRef/>
      </w:r>
      <w:r>
        <w:t xml:space="preserve"> </w:t>
      </w:r>
      <w:r w:rsidRPr="0024573A">
        <w:t>Андреев, A.B. Основы региональной экономики Текст</w:t>
      </w:r>
      <w:proofErr w:type="gramStart"/>
      <w:r w:rsidRPr="0024573A">
        <w:t xml:space="preserve">.: </w:t>
      </w:r>
      <w:proofErr w:type="gramEnd"/>
      <w:r w:rsidRPr="0024573A">
        <w:t xml:space="preserve">учебное пособие / A.A. Андреев, Л.М. Борисова, Э.В. </w:t>
      </w:r>
      <w:proofErr w:type="spellStart"/>
      <w:r w:rsidRPr="0024573A">
        <w:t>Плучевская</w:t>
      </w:r>
      <w:proofErr w:type="spellEnd"/>
      <w:r w:rsidRPr="0024573A">
        <w:t xml:space="preserve">. М.: ЬСНОРУС, 2017. </w:t>
      </w:r>
      <w:r>
        <w:t>–</w:t>
      </w:r>
      <w:r w:rsidRPr="0024573A">
        <w:t>336 с.</w:t>
      </w:r>
    </w:p>
  </w:footnote>
  <w:footnote w:id="6">
    <w:p w:rsidR="00923279" w:rsidRDefault="00923279" w:rsidP="003E7E0C">
      <w:pPr>
        <w:pStyle w:val="ab"/>
      </w:pPr>
      <w:r>
        <w:rPr>
          <w:rStyle w:val="ad"/>
        </w:rPr>
        <w:footnoteRef/>
      </w:r>
      <w:r>
        <w:t xml:space="preserve"> </w:t>
      </w:r>
      <w:proofErr w:type="gramStart"/>
      <w:r w:rsidRPr="00A10C90">
        <w:t xml:space="preserve">Конституция Российской Федерации (принята всенародным голосованием 12 декабря 1993 г.) (с учетом поправок, внесенных Законами </w:t>
      </w:r>
      <w:r w:rsidRPr="008A4E8E">
        <w:rPr>
          <w:rFonts w:eastAsia="Calibri" w:cs="SimSun"/>
        </w:rPr>
        <w:t>Российской</w:t>
      </w:r>
      <w:r>
        <w:rPr>
          <w:rFonts w:eastAsia="Calibri" w:cs="SimSun"/>
        </w:rPr>
        <w:t xml:space="preserve"> </w:t>
      </w:r>
      <w:r w:rsidRPr="008A4E8E">
        <w:rPr>
          <w:rFonts w:eastAsia="Calibri" w:cs="SimSun"/>
        </w:rPr>
        <w:t>Ф</w:t>
      </w:r>
      <w:r>
        <w:rPr>
          <w:rFonts w:eastAsia="Calibri" w:cs="SimSun"/>
        </w:rPr>
        <w:t>едерации</w:t>
      </w:r>
      <w:r w:rsidRPr="00A10C90">
        <w:t xml:space="preserve"> о поправках к Конституции </w:t>
      </w:r>
      <w:r w:rsidRPr="008A4E8E">
        <w:rPr>
          <w:rFonts w:eastAsia="Calibri" w:cs="SimSun"/>
        </w:rPr>
        <w:t>Российской</w:t>
      </w:r>
      <w:r>
        <w:rPr>
          <w:rFonts w:eastAsia="Calibri" w:cs="SimSun"/>
        </w:rPr>
        <w:t xml:space="preserve"> </w:t>
      </w:r>
      <w:r w:rsidRPr="008A4E8E">
        <w:rPr>
          <w:rFonts w:eastAsia="Calibri" w:cs="SimSun"/>
        </w:rPr>
        <w:t>Ф</w:t>
      </w:r>
      <w:r>
        <w:rPr>
          <w:rFonts w:eastAsia="Calibri" w:cs="SimSun"/>
        </w:rPr>
        <w:t>едерации</w:t>
      </w:r>
      <w:r w:rsidRPr="00A10C90">
        <w:t xml:space="preserve"> от 30 декабря 2008 г. № 6</w:t>
      </w:r>
      <w:r>
        <w:t>–</w:t>
      </w:r>
      <w:r w:rsidRPr="00A10C90">
        <w:t>ФКЗ, от 30 декабря 2008 г. № 7</w:t>
      </w:r>
      <w:r>
        <w:t>–</w:t>
      </w:r>
      <w:r w:rsidRPr="00A10C90">
        <w:t>ФКЗ, от 5 февраля 2014 г. № 2</w:t>
      </w:r>
      <w:r>
        <w:t>–</w:t>
      </w:r>
      <w:r w:rsidRPr="00A10C90">
        <w:t>ФКЗ, от 21 июля 2014 г. № 11</w:t>
      </w:r>
      <w:r>
        <w:t>–</w:t>
      </w:r>
      <w:r w:rsidRPr="00A10C90">
        <w:t xml:space="preserve">ФКЗ) // Собрание законодательства </w:t>
      </w:r>
      <w:r w:rsidRPr="008A4E8E">
        <w:rPr>
          <w:rFonts w:eastAsia="Calibri" w:cs="SimSun"/>
        </w:rPr>
        <w:t>Российской</w:t>
      </w:r>
      <w:r>
        <w:rPr>
          <w:rFonts w:eastAsia="Calibri" w:cs="SimSun"/>
        </w:rPr>
        <w:t xml:space="preserve"> </w:t>
      </w:r>
      <w:r w:rsidRPr="008A4E8E">
        <w:rPr>
          <w:rFonts w:eastAsia="Calibri" w:cs="SimSun"/>
        </w:rPr>
        <w:t>Ф</w:t>
      </w:r>
      <w:r>
        <w:rPr>
          <w:rFonts w:eastAsia="Calibri" w:cs="SimSun"/>
        </w:rPr>
        <w:t>едерации</w:t>
      </w:r>
      <w:r w:rsidRPr="00A10C90">
        <w:t>. 2014. № 31. №т. 4398</w:t>
      </w:r>
      <w:proofErr w:type="gramEnd"/>
    </w:p>
  </w:footnote>
  <w:footnote w:id="7">
    <w:p w:rsidR="00923279" w:rsidRDefault="00923279" w:rsidP="003E7E0C">
      <w:pPr>
        <w:pStyle w:val="ab"/>
      </w:pPr>
      <w:r>
        <w:rPr>
          <w:rStyle w:val="ad"/>
        </w:rPr>
        <w:footnoteRef/>
      </w:r>
      <w:r>
        <w:t xml:space="preserve"> </w:t>
      </w:r>
      <w:proofErr w:type="spellStart"/>
      <w:r>
        <w:t>Масликов</w:t>
      </w:r>
      <w:proofErr w:type="spellEnd"/>
      <w:r>
        <w:t xml:space="preserve"> В.А.   Местное самоуправление в концепции устойчивого развития общества В сборнике: Территориальное общественное самоуправление в малых городах и сельских поселениях и его взаимодействие с органами местного самоуправления Сборник материалов общероссийской научно–практической конференции. Научно–исследовательский институт </w:t>
      </w:r>
      <w:proofErr w:type="spellStart"/>
      <w:r>
        <w:t>государствоведения</w:t>
      </w:r>
      <w:proofErr w:type="spellEnd"/>
      <w:r>
        <w:t xml:space="preserve"> и местного самоуправления. 2017. С. 30–36.</w:t>
      </w:r>
    </w:p>
  </w:footnote>
  <w:footnote w:id="8">
    <w:p w:rsidR="00923279" w:rsidRDefault="00923279" w:rsidP="003E7E0C">
      <w:pPr>
        <w:pStyle w:val="ab"/>
      </w:pPr>
      <w:r>
        <w:rPr>
          <w:rStyle w:val="ad"/>
        </w:rPr>
        <w:footnoteRef/>
      </w:r>
      <w:r>
        <w:t xml:space="preserve"> </w:t>
      </w:r>
      <w:r w:rsidRPr="0024573A">
        <w:t>Андреев, A.B. Основы региональной экономики Текст</w:t>
      </w:r>
      <w:proofErr w:type="gramStart"/>
      <w:r w:rsidRPr="0024573A">
        <w:t xml:space="preserve">.: </w:t>
      </w:r>
      <w:proofErr w:type="gramEnd"/>
      <w:r w:rsidRPr="0024573A">
        <w:t xml:space="preserve">учебное пособие / A.A. Андреев, Л.М. Борисова, Э.В. </w:t>
      </w:r>
      <w:proofErr w:type="spellStart"/>
      <w:r w:rsidRPr="0024573A">
        <w:t>Плучевская</w:t>
      </w:r>
      <w:proofErr w:type="spellEnd"/>
      <w:r w:rsidRPr="0024573A">
        <w:t xml:space="preserve">. М.: ЬСНОРУС, 2017. </w:t>
      </w:r>
      <w:r>
        <w:t>–</w:t>
      </w:r>
      <w:r w:rsidRPr="0024573A">
        <w:t>336 с.</w:t>
      </w:r>
    </w:p>
  </w:footnote>
  <w:footnote w:id="9">
    <w:p w:rsidR="00923279" w:rsidRDefault="00923279" w:rsidP="003E7E0C">
      <w:pPr>
        <w:pStyle w:val="ab"/>
      </w:pPr>
      <w:r>
        <w:rPr>
          <w:rStyle w:val="ad"/>
        </w:rPr>
        <w:footnoteRef/>
      </w:r>
      <w:r>
        <w:t xml:space="preserve"> </w:t>
      </w:r>
      <w:proofErr w:type="spellStart"/>
      <w:r>
        <w:t>Масликов</w:t>
      </w:r>
      <w:proofErr w:type="spellEnd"/>
      <w:r>
        <w:t xml:space="preserve"> В.А.   Местное самоуправление в концепции устойчивого развития общества В сборнике: Территориальное общественное самоуправление в малых городах и сельских поселениях и его взаимодействие с органами местного самоуправления Сборник материалов общероссийской научно–практической конференции. Научно–исследовательский институт </w:t>
      </w:r>
      <w:proofErr w:type="spellStart"/>
      <w:r>
        <w:t>государствоведения</w:t>
      </w:r>
      <w:proofErr w:type="spellEnd"/>
      <w:r>
        <w:t xml:space="preserve"> и местного масоуправления.2017. С.30–36</w:t>
      </w:r>
    </w:p>
  </w:footnote>
  <w:footnote w:id="10">
    <w:p w:rsidR="00923279" w:rsidRDefault="00923279">
      <w:pPr>
        <w:pStyle w:val="ab"/>
      </w:pPr>
      <w:r>
        <w:rPr>
          <w:rStyle w:val="ad"/>
        </w:rPr>
        <w:footnoteRef/>
      </w:r>
      <w:r>
        <w:t xml:space="preserve"> Портал госпрограмм </w:t>
      </w:r>
      <w:r w:rsidRPr="003E7E0C">
        <w:t>[</w:t>
      </w:r>
      <w:r>
        <w:t>Электронный ресурс</w:t>
      </w:r>
      <w:r w:rsidRPr="003E7E0C">
        <w:t>]</w:t>
      </w:r>
      <w:r>
        <w:t xml:space="preserve"> </w:t>
      </w:r>
      <w:r w:rsidRPr="003E7E0C">
        <w:t>https://programs.gov.ru/Portal/programs/documents</w:t>
      </w:r>
    </w:p>
  </w:footnote>
  <w:footnote w:id="11">
    <w:p w:rsidR="00923279" w:rsidRDefault="00923279">
      <w:pPr>
        <w:pStyle w:val="ab"/>
      </w:pPr>
      <w:r>
        <w:rPr>
          <w:rStyle w:val="ad"/>
        </w:rPr>
        <w:footnoteRef/>
      </w:r>
      <w:r>
        <w:t xml:space="preserve"> </w:t>
      </w:r>
      <w:proofErr w:type="spellStart"/>
      <w:r w:rsidRPr="00513C24">
        <w:t>Лапо</w:t>
      </w:r>
      <w:proofErr w:type="spellEnd"/>
      <w:r w:rsidRPr="00513C24">
        <w:t xml:space="preserve"> А.С., Федорова С.Ю.</w:t>
      </w:r>
      <w:r>
        <w:t xml:space="preserve"> </w:t>
      </w:r>
      <w:r w:rsidRPr="00513C24">
        <w:t xml:space="preserve">Совершенствование </w:t>
      </w:r>
      <w:proofErr w:type="gramStart"/>
      <w:r w:rsidRPr="00513C24">
        <w:t>методических подходов</w:t>
      </w:r>
      <w:proofErr w:type="gramEnd"/>
      <w:r w:rsidRPr="00513C24">
        <w:t xml:space="preserve"> к комплексной оценке эффективности реализации государственных программ субъектов РФ</w:t>
      </w:r>
      <w:r>
        <w:t xml:space="preserve"> // </w:t>
      </w:r>
      <w:r w:rsidRPr="00513C24">
        <w:t>Экономика и управление: теория и практика, 2019, Т.5. № 2. С. 18-24.</w:t>
      </w:r>
    </w:p>
  </w:footnote>
  <w:footnote w:id="12">
    <w:p w:rsidR="00825E66" w:rsidRPr="00825E66" w:rsidRDefault="00825E66" w:rsidP="00825E66">
      <w:pPr>
        <w:pStyle w:val="ab"/>
      </w:pPr>
      <w:r>
        <w:rPr>
          <w:rStyle w:val="ad"/>
        </w:rPr>
        <w:footnoteRef/>
      </w:r>
      <w:r w:rsidRPr="00825E66">
        <w:t xml:space="preserve"> </w:t>
      </w:r>
      <w:r w:rsidRPr="0004437E">
        <w:rPr>
          <w:sz w:val="24"/>
          <w:szCs w:val="24"/>
          <w:lang w:val="en-US"/>
        </w:rPr>
        <w:t>http</w:t>
      </w:r>
      <w:r w:rsidRPr="00825E66">
        <w:rPr>
          <w:sz w:val="24"/>
          <w:szCs w:val="24"/>
        </w:rPr>
        <w:t>://</w:t>
      </w:r>
      <w:r w:rsidRPr="0004437E">
        <w:rPr>
          <w:sz w:val="24"/>
          <w:szCs w:val="24"/>
          <w:lang w:val="en-US"/>
        </w:rPr>
        <w:t>www</w:t>
      </w:r>
      <w:r w:rsidRPr="00825E66">
        <w:rPr>
          <w:sz w:val="24"/>
          <w:szCs w:val="24"/>
        </w:rPr>
        <w:t>.</w:t>
      </w:r>
      <w:r w:rsidRPr="0004437E">
        <w:rPr>
          <w:sz w:val="24"/>
          <w:szCs w:val="24"/>
          <w:lang w:val="en-US"/>
        </w:rPr>
        <w:t>up</w:t>
      </w:r>
      <w:r w:rsidRPr="00825E66">
        <w:rPr>
          <w:sz w:val="24"/>
          <w:szCs w:val="24"/>
        </w:rPr>
        <w:t>-</w:t>
      </w:r>
      <w:r w:rsidRPr="0004437E">
        <w:rPr>
          <w:sz w:val="24"/>
          <w:szCs w:val="24"/>
          <w:lang w:val="en-US"/>
        </w:rPr>
        <w:t>pro</w:t>
      </w:r>
      <w:r w:rsidRPr="00825E66">
        <w:rPr>
          <w:sz w:val="24"/>
          <w:szCs w:val="24"/>
        </w:rPr>
        <w:t>.</w:t>
      </w:r>
      <w:proofErr w:type="spellStart"/>
      <w:r w:rsidRPr="0004437E">
        <w:rPr>
          <w:sz w:val="24"/>
          <w:szCs w:val="24"/>
          <w:lang w:val="en-US"/>
        </w:rPr>
        <w:t>ru</w:t>
      </w:r>
      <w:proofErr w:type="spellEnd"/>
      <w:r w:rsidRPr="00825E66">
        <w:rPr>
          <w:sz w:val="24"/>
          <w:szCs w:val="24"/>
        </w:rPr>
        <w:t>/</w:t>
      </w:r>
      <w:r w:rsidRPr="0004437E">
        <w:rPr>
          <w:sz w:val="24"/>
          <w:szCs w:val="24"/>
          <w:lang w:val="en-US"/>
        </w:rPr>
        <w:t>library</w:t>
      </w:r>
      <w:r w:rsidRPr="00825E66">
        <w:rPr>
          <w:sz w:val="24"/>
          <w:szCs w:val="24"/>
        </w:rPr>
        <w:t>/</w:t>
      </w:r>
      <w:r w:rsidRPr="0004437E">
        <w:rPr>
          <w:sz w:val="24"/>
          <w:szCs w:val="24"/>
          <w:lang w:val="en-US"/>
        </w:rPr>
        <w:t>production</w:t>
      </w:r>
      <w:r w:rsidRPr="00825E66">
        <w:rPr>
          <w:sz w:val="24"/>
          <w:szCs w:val="24"/>
        </w:rPr>
        <w:t>_</w:t>
      </w:r>
      <w:r w:rsidRPr="0004437E">
        <w:rPr>
          <w:sz w:val="24"/>
          <w:szCs w:val="24"/>
          <w:lang w:val="en-US"/>
        </w:rPr>
        <w:t>management</w:t>
      </w:r>
      <w:r w:rsidRPr="00825E66">
        <w:rPr>
          <w:sz w:val="24"/>
          <w:szCs w:val="24"/>
        </w:rPr>
        <w:t>/</w:t>
      </w:r>
      <w:r w:rsidRPr="0004437E">
        <w:rPr>
          <w:sz w:val="24"/>
          <w:szCs w:val="24"/>
          <w:lang w:val="en-US"/>
        </w:rPr>
        <w:t>productivity</w:t>
      </w:r>
      <w:r w:rsidRPr="00825E66">
        <w:rPr>
          <w:sz w:val="24"/>
          <w:szCs w:val="24"/>
        </w:rPr>
        <w:t>/</w:t>
      </w:r>
      <w:proofErr w:type="spellStart"/>
      <w:r w:rsidRPr="0004437E">
        <w:rPr>
          <w:sz w:val="24"/>
          <w:szCs w:val="24"/>
          <w:lang w:val="en-US"/>
        </w:rPr>
        <w:t>itogi</w:t>
      </w:r>
      <w:proofErr w:type="spellEnd"/>
      <w:r w:rsidRPr="00825E66">
        <w:rPr>
          <w:sz w:val="24"/>
          <w:szCs w:val="24"/>
        </w:rPr>
        <w:t>-</w:t>
      </w:r>
      <w:proofErr w:type="spellStart"/>
      <w:r w:rsidRPr="0004437E">
        <w:rPr>
          <w:sz w:val="24"/>
          <w:szCs w:val="24"/>
          <w:lang w:val="en-US"/>
        </w:rPr>
        <w:t>plany</w:t>
      </w:r>
      <w:proofErr w:type="spellEnd"/>
      <w:r w:rsidRPr="00825E66">
        <w:rPr>
          <w:sz w:val="24"/>
          <w:szCs w:val="24"/>
        </w:rPr>
        <w:t>-2017.</w:t>
      </w:r>
      <w:r w:rsidRPr="0004437E">
        <w:rPr>
          <w:sz w:val="24"/>
          <w:szCs w:val="24"/>
          <w:lang w:val="en-US"/>
        </w:rPr>
        <w:t>html</w:t>
      </w:r>
    </w:p>
  </w:footnote>
  <w:footnote w:id="13">
    <w:p w:rsidR="00825E66" w:rsidRPr="00825E66" w:rsidRDefault="00825E66" w:rsidP="00825E66">
      <w:pPr>
        <w:pStyle w:val="ab"/>
      </w:pPr>
      <w:r>
        <w:rPr>
          <w:rStyle w:val="ad"/>
        </w:rPr>
        <w:footnoteRef/>
      </w:r>
      <w:r w:rsidRPr="00825E66">
        <w:t xml:space="preserve"> </w:t>
      </w:r>
      <w:r w:rsidRPr="0004437E">
        <w:rPr>
          <w:sz w:val="24"/>
          <w:szCs w:val="24"/>
          <w:lang w:val="en-US"/>
        </w:rPr>
        <w:t>http</w:t>
      </w:r>
      <w:r w:rsidRPr="00825E66">
        <w:rPr>
          <w:sz w:val="24"/>
          <w:szCs w:val="24"/>
        </w:rPr>
        <w:t>://</w:t>
      </w:r>
      <w:r w:rsidRPr="0004437E">
        <w:rPr>
          <w:sz w:val="24"/>
          <w:szCs w:val="24"/>
          <w:lang w:val="en-US"/>
        </w:rPr>
        <w:t>www</w:t>
      </w:r>
      <w:r w:rsidRPr="00825E66">
        <w:rPr>
          <w:sz w:val="24"/>
          <w:szCs w:val="24"/>
        </w:rPr>
        <w:t>.</w:t>
      </w:r>
      <w:proofErr w:type="spellStart"/>
      <w:r w:rsidRPr="0004437E">
        <w:rPr>
          <w:sz w:val="24"/>
          <w:szCs w:val="24"/>
          <w:lang w:val="en-US"/>
        </w:rPr>
        <w:t>umpro</w:t>
      </w:r>
      <w:proofErr w:type="spellEnd"/>
      <w:r w:rsidRPr="00825E66">
        <w:rPr>
          <w:sz w:val="24"/>
          <w:szCs w:val="24"/>
        </w:rPr>
        <w:t>.</w:t>
      </w:r>
      <w:proofErr w:type="spellStart"/>
      <w:r w:rsidRPr="0004437E">
        <w:rPr>
          <w:sz w:val="24"/>
          <w:szCs w:val="24"/>
          <w:lang w:val="en-US"/>
        </w:rPr>
        <w:t>ru</w:t>
      </w:r>
      <w:proofErr w:type="spellEnd"/>
      <w:r w:rsidRPr="00825E66">
        <w:rPr>
          <w:sz w:val="24"/>
          <w:szCs w:val="24"/>
        </w:rPr>
        <w:t>/</w:t>
      </w:r>
      <w:r w:rsidRPr="0004437E">
        <w:rPr>
          <w:sz w:val="24"/>
          <w:szCs w:val="24"/>
          <w:lang w:val="en-US"/>
        </w:rPr>
        <w:t>index</w:t>
      </w:r>
      <w:r w:rsidRPr="00825E66">
        <w:rPr>
          <w:sz w:val="24"/>
          <w:szCs w:val="24"/>
        </w:rPr>
        <w:t>.</w:t>
      </w:r>
      <w:proofErr w:type="spellStart"/>
      <w:r w:rsidRPr="0004437E">
        <w:rPr>
          <w:sz w:val="24"/>
          <w:szCs w:val="24"/>
          <w:lang w:val="en-US"/>
        </w:rPr>
        <w:t>php</w:t>
      </w:r>
      <w:proofErr w:type="spellEnd"/>
      <w:r w:rsidRPr="00825E66">
        <w:rPr>
          <w:sz w:val="24"/>
          <w:szCs w:val="24"/>
        </w:rPr>
        <w:t>?</w:t>
      </w:r>
      <w:r w:rsidRPr="0004437E">
        <w:rPr>
          <w:sz w:val="24"/>
          <w:szCs w:val="24"/>
          <w:lang w:val="en-US"/>
        </w:rPr>
        <w:t>page</w:t>
      </w:r>
      <w:r w:rsidRPr="00825E66">
        <w:rPr>
          <w:sz w:val="24"/>
          <w:szCs w:val="24"/>
        </w:rPr>
        <w:t>_</w:t>
      </w:r>
      <w:r w:rsidRPr="0004437E">
        <w:rPr>
          <w:sz w:val="24"/>
          <w:szCs w:val="24"/>
          <w:lang w:val="en-US"/>
        </w:rPr>
        <w:t>id</w:t>
      </w:r>
      <w:r w:rsidRPr="00825E66">
        <w:rPr>
          <w:sz w:val="24"/>
          <w:szCs w:val="24"/>
        </w:rPr>
        <w:t>=17&amp;</w:t>
      </w:r>
      <w:r w:rsidRPr="0004437E">
        <w:rPr>
          <w:sz w:val="24"/>
          <w:szCs w:val="24"/>
          <w:lang w:val="en-US"/>
        </w:rPr>
        <w:t>art</w:t>
      </w:r>
      <w:r w:rsidRPr="00825E66">
        <w:rPr>
          <w:sz w:val="24"/>
          <w:szCs w:val="24"/>
        </w:rPr>
        <w:t>_</w:t>
      </w:r>
      <w:r w:rsidRPr="0004437E">
        <w:rPr>
          <w:sz w:val="24"/>
          <w:szCs w:val="24"/>
          <w:lang w:val="en-US"/>
        </w:rPr>
        <w:t>id</w:t>
      </w:r>
      <w:r w:rsidRPr="00825E66">
        <w:rPr>
          <w:sz w:val="24"/>
          <w:szCs w:val="24"/>
        </w:rPr>
        <w:t>_1=864&amp;</w:t>
      </w:r>
      <w:r w:rsidRPr="0004437E">
        <w:rPr>
          <w:sz w:val="24"/>
          <w:szCs w:val="24"/>
          <w:lang w:val="en-US"/>
        </w:rPr>
        <w:t>group</w:t>
      </w:r>
      <w:r w:rsidRPr="00825E66">
        <w:rPr>
          <w:sz w:val="24"/>
          <w:szCs w:val="24"/>
        </w:rPr>
        <w:t>_</w:t>
      </w:r>
      <w:r w:rsidRPr="0004437E">
        <w:rPr>
          <w:sz w:val="24"/>
          <w:szCs w:val="24"/>
          <w:lang w:val="en-US"/>
        </w:rPr>
        <w:t>id</w:t>
      </w:r>
      <w:r w:rsidRPr="00825E66">
        <w:rPr>
          <w:sz w:val="24"/>
          <w:szCs w:val="24"/>
        </w:rPr>
        <w:t>_4=110</w:t>
      </w:r>
    </w:p>
  </w:footnote>
  <w:footnote w:id="14">
    <w:p w:rsidR="00825E66" w:rsidRPr="00825E66" w:rsidRDefault="00825E66" w:rsidP="00825E66">
      <w:pPr>
        <w:pStyle w:val="ab"/>
      </w:pPr>
      <w:r>
        <w:rPr>
          <w:rStyle w:val="ad"/>
        </w:rPr>
        <w:footnoteRef/>
      </w:r>
      <w:r w:rsidRPr="00825E66">
        <w:t xml:space="preserve"> </w:t>
      </w:r>
      <w:r w:rsidRPr="0004437E">
        <w:rPr>
          <w:sz w:val="24"/>
          <w:szCs w:val="24"/>
          <w:lang w:val="en-US"/>
        </w:rPr>
        <w:t>https</w:t>
      </w:r>
      <w:r w:rsidRPr="00825E66">
        <w:rPr>
          <w:sz w:val="24"/>
          <w:szCs w:val="24"/>
        </w:rPr>
        <w:t>://</w:t>
      </w:r>
      <w:r w:rsidRPr="0004437E">
        <w:rPr>
          <w:sz w:val="24"/>
          <w:szCs w:val="24"/>
          <w:lang w:val="en-US"/>
        </w:rPr>
        <w:t>www</w:t>
      </w:r>
      <w:r w:rsidRPr="00825E66">
        <w:rPr>
          <w:sz w:val="24"/>
          <w:szCs w:val="24"/>
        </w:rPr>
        <w:t>.</w:t>
      </w:r>
      <w:proofErr w:type="spellStart"/>
      <w:r w:rsidRPr="0004437E">
        <w:rPr>
          <w:sz w:val="24"/>
          <w:szCs w:val="24"/>
          <w:lang w:val="en-US"/>
        </w:rPr>
        <w:t>rbc</w:t>
      </w:r>
      <w:proofErr w:type="spellEnd"/>
      <w:r w:rsidRPr="00825E66">
        <w:rPr>
          <w:sz w:val="24"/>
          <w:szCs w:val="24"/>
        </w:rPr>
        <w:t>.</w:t>
      </w:r>
      <w:proofErr w:type="spellStart"/>
      <w:r w:rsidRPr="0004437E">
        <w:rPr>
          <w:sz w:val="24"/>
          <w:szCs w:val="24"/>
          <w:lang w:val="en-US"/>
        </w:rPr>
        <w:t>ru</w:t>
      </w:r>
      <w:proofErr w:type="spellEnd"/>
      <w:r w:rsidRPr="00825E66">
        <w:rPr>
          <w:sz w:val="24"/>
          <w:szCs w:val="24"/>
        </w:rPr>
        <w:t>/</w:t>
      </w:r>
      <w:r w:rsidRPr="0004437E">
        <w:rPr>
          <w:sz w:val="24"/>
          <w:szCs w:val="24"/>
          <w:lang w:val="en-US"/>
        </w:rPr>
        <w:t>economics</w:t>
      </w:r>
      <w:r w:rsidRPr="00825E66">
        <w:rPr>
          <w:sz w:val="24"/>
          <w:szCs w:val="24"/>
        </w:rPr>
        <w:t>/17/03/2018/5</w:t>
      </w:r>
      <w:proofErr w:type="spellStart"/>
      <w:r w:rsidRPr="0004437E">
        <w:rPr>
          <w:sz w:val="24"/>
          <w:szCs w:val="24"/>
          <w:lang w:val="en-US"/>
        </w:rPr>
        <w:t>aabb</w:t>
      </w:r>
      <w:proofErr w:type="spellEnd"/>
      <w:r w:rsidRPr="00825E66">
        <w:rPr>
          <w:sz w:val="24"/>
          <w:szCs w:val="24"/>
        </w:rPr>
        <w:t>72</w:t>
      </w:r>
      <w:r w:rsidRPr="0004437E">
        <w:rPr>
          <w:sz w:val="24"/>
          <w:szCs w:val="24"/>
          <w:lang w:val="en-US"/>
        </w:rPr>
        <w:t>c</w:t>
      </w:r>
      <w:r w:rsidRPr="00825E66">
        <w:rPr>
          <w:sz w:val="24"/>
          <w:szCs w:val="24"/>
        </w:rPr>
        <w:t>9</w:t>
      </w:r>
      <w:r w:rsidRPr="0004437E">
        <w:rPr>
          <w:sz w:val="24"/>
          <w:szCs w:val="24"/>
          <w:lang w:val="en-US"/>
        </w:rPr>
        <w:t>a</w:t>
      </w:r>
      <w:r w:rsidRPr="00825E66">
        <w:rPr>
          <w:sz w:val="24"/>
          <w:szCs w:val="24"/>
        </w:rPr>
        <w:t>7947688603</w:t>
      </w:r>
      <w:r w:rsidRPr="0004437E">
        <w:rPr>
          <w:sz w:val="24"/>
          <w:szCs w:val="24"/>
          <w:lang w:val="en-US"/>
        </w:rPr>
        <w:t>c</w:t>
      </w:r>
      <w:r w:rsidRPr="00825E66">
        <w:rPr>
          <w:sz w:val="24"/>
          <w:szCs w:val="24"/>
        </w:rPr>
        <w:t>588</w:t>
      </w:r>
    </w:p>
  </w:footnote>
  <w:footnote w:id="15">
    <w:p w:rsidR="00825E66" w:rsidRPr="00825E66" w:rsidRDefault="00825E66" w:rsidP="00825E66">
      <w:pPr>
        <w:pStyle w:val="ab"/>
      </w:pPr>
      <w:r>
        <w:rPr>
          <w:rStyle w:val="ad"/>
        </w:rPr>
        <w:footnoteRef/>
      </w:r>
      <w:r w:rsidRPr="00825E66">
        <w:t xml:space="preserve"> </w:t>
      </w:r>
      <w:r w:rsidRPr="0004437E">
        <w:rPr>
          <w:lang w:val="en-US"/>
        </w:rPr>
        <w:t>http</w:t>
      </w:r>
      <w:r w:rsidRPr="00825E66">
        <w:t>://</w:t>
      </w:r>
      <w:r w:rsidRPr="0004437E">
        <w:rPr>
          <w:lang w:val="en-US"/>
        </w:rPr>
        <w:t>government</w:t>
      </w:r>
      <w:r w:rsidRPr="00825E66">
        <w:t>.</w:t>
      </w:r>
      <w:proofErr w:type="spellStart"/>
      <w:r w:rsidRPr="0004437E">
        <w:rPr>
          <w:lang w:val="en-US"/>
        </w:rPr>
        <w:t>ru</w:t>
      </w:r>
      <w:proofErr w:type="spellEnd"/>
      <w:r w:rsidRPr="00825E66">
        <w:t>/</w:t>
      </w:r>
      <w:proofErr w:type="spellStart"/>
      <w:r w:rsidRPr="0004437E">
        <w:rPr>
          <w:lang w:val="en-US"/>
        </w:rPr>
        <w:t>rugovclassifier</w:t>
      </w:r>
      <w:proofErr w:type="spellEnd"/>
      <w:r w:rsidRPr="00825E66">
        <w:t>/615/</w:t>
      </w:r>
      <w:r w:rsidRPr="0004437E">
        <w:rPr>
          <w:lang w:val="en-US"/>
        </w:rPr>
        <w:t>events</w:t>
      </w:r>
      <w:r w:rsidRPr="00825E66">
        <w:t>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C5E"/>
    <w:multiLevelType w:val="multilevel"/>
    <w:tmpl w:val="49221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670136"/>
    <w:multiLevelType w:val="hybridMultilevel"/>
    <w:tmpl w:val="23107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B7A20"/>
    <w:multiLevelType w:val="multilevel"/>
    <w:tmpl w:val="C33E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D507F"/>
    <w:multiLevelType w:val="hybridMultilevel"/>
    <w:tmpl w:val="B8263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6062F9"/>
    <w:multiLevelType w:val="hybridMultilevel"/>
    <w:tmpl w:val="86561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BC11E5"/>
    <w:multiLevelType w:val="multilevel"/>
    <w:tmpl w:val="578A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B124C4"/>
    <w:multiLevelType w:val="multilevel"/>
    <w:tmpl w:val="60A6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96039"/>
    <w:multiLevelType w:val="hybridMultilevel"/>
    <w:tmpl w:val="814A5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53EE9"/>
    <w:multiLevelType w:val="hybridMultilevel"/>
    <w:tmpl w:val="3EC6B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6045E"/>
    <w:multiLevelType w:val="hybridMultilevel"/>
    <w:tmpl w:val="8982D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73952"/>
    <w:multiLevelType w:val="hybridMultilevel"/>
    <w:tmpl w:val="82405B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80F7E"/>
    <w:multiLevelType w:val="hybridMultilevel"/>
    <w:tmpl w:val="BE80B18A"/>
    <w:lvl w:ilvl="0" w:tplc="EFEC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713673"/>
    <w:multiLevelType w:val="hybridMultilevel"/>
    <w:tmpl w:val="3C8AE0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2"/>
  </w:num>
  <w:num w:numId="10">
    <w:abstractNumId w:val="10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E5"/>
    <w:rsid w:val="000279FA"/>
    <w:rsid w:val="00084F97"/>
    <w:rsid w:val="000E7CBA"/>
    <w:rsid w:val="002021AB"/>
    <w:rsid w:val="00237FFA"/>
    <w:rsid w:val="003D4CD1"/>
    <w:rsid w:val="003E7E0C"/>
    <w:rsid w:val="004845C6"/>
    <w:rsid w:val="00513C24"/>
    <w:rsid w:val="005B6226"/>
    <w:rsid w:val="00710F5F"/>
    <w:rsid w:val="00762FFB"/>
    <w:rsid w:val="00825E66"/>
    <w:rsid w:val="008B1526"/>
    <w:rsid w:val="00923279"/>
    <w:rsid w:val="0095792F"/>
    <w:rsid w:val="00A43A3D"/>
    <w:rsid w:val="00A452E5"/>
    <w:rsid w:val="00A848F8"/>
    <w:rsid w:val="00B7339D"/>
    <w:rsid w:val="00CF102F"/>
    <w:rsid w:val="00D82C36"/>
    <w:rsid w:val="00DA1432"/>
    <w:rsid w:val="00F6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97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84F97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32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2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F9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A143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43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A143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432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A1432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a8">
    <w:name w:val="моё"/>
    <w:basedOn w:val="a"/>
    <w:rsid w:val="0095792F"/>
    <w:pPr>
      <w:suppressAutoHyphens/>
      <w:autoSpaceDE w:val="0"/>
      <w:autoSpaceDN w:val="0"/>
      <w:adjustRightInd w:val="0"/>
      <w:ind w:firstLine="720"/>
      <w:contextualSpacing/>
    </w:pPr>
    <w:rPr>
      <w:rFonts w:eastAsia="Times New Roman" w:cs="Times New Roman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79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92F"/>
    <w:rPr>
      <w:rFonts w:ascii="Tahoma" w:hAnsi="Tahoma" w:cs="Tahoma"/>
      <w:sz w:val="16"/>
      <w:szCs w:val="16"/>
    </w:rPr>
  </w:style>
  <w:style w:type="paragraph" w:customStyle="1" w:styleId="11">
    <w:name w:val="Текст сноски1"/>
    <w:basedOn w:val="a"/>
    <w:next w:val="ab"/>
    <w:link w:val="ac"/>
    <w:uiPriority w:val="99"/>
    <w:semiHidden/>
    <w:unhideWhenUsed/>
    <w:rsid w:val="002021AB"/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link w:val="11"/>
    <w:uiPriority w:val="99"/>
    <w:rsid w:val="002021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021AB"/>
    <w:rPr>
      <w:vertAlign w:val="superscript"/>
    </w:rPr>
  </w:style>
  <w:style w:type="paragraph" w:styleId="ae">
    <w:name w:val="TOC Heading"/>
    <w:basedOn w:val="1"/>
    <w:next w:val="a"/>
    <w:uiPriority w:val="39"/>
    <w:unhideWhenUsed/>
    <w:qFormat/>
    <w:rsid w:val="002021AB"/>
    <w:pPr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2">
    <w:name w:val="toc 1"/>
    <w:basedOn w:val="a"/>
    <w:next w:val="a"/>
    <w:autoRedefine/>
    <w:uiPriority w:val="39"/>
    <w:rsid w:val="002021AB"/>
    <w:rPr>
      <w:rFonts w:eastAsia="Times New Roman" w:cs="Times New Roman"/>
      <w:szCs w:val="24"/>
      <w:lang w:val="uk-UA" w:eastAsia="uk-UA"/>
    </w:rPr>
  </w:style>
  <w:style w:type="character" w:styleId="af">
    <w:name w:val="Hyperlink"/>
    <w:uiPriority w:val="99"/>
    <w:unhideWhenUsed/>
    <w:rsid w:val="002021AB"/>
    <w:rPr>
      <w:color w:val="0000FF"/>
      <w:u w:val="single"/>
    </w:rPr>
  </w:style>
  <w:style w:type="paragraph" w:styleId="ab">
    <w:name w:val="footnote text"/>
    <w:basedOn w:val="a"/>
    <w:link w:val="13"/>
    <w:uiPriority w:val="99"/>
    <w:unhideWhenUsed/>
    <w:rsid w:val="002021AB"/>
    <w:pPr>
      <w:spacing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b"/>
    <w:uiPriority w:val="99"/>
    <w:semiHidden/>
    <w:rsid w:val="002021AB"/>
    <w:rPr>
      <w:rFonts w:ascii="Times New Roman" w:hAnsi="Times New Roman"/>
      <w:sz w:val="20"/>
      <w:szCs w:val="20"/>
    </w:rPr>
  </w:style>
  <w:style w:type="table" w:styleId="af0">
    <w:name w:val="Table Grid"/>
    <w:basedOn w:val="a1"/>
    <w:uiPriority w:val="59"/>
    <w:rsid w:val="0051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23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2327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numbering" w:customStyle="1" w:styleId="14">
    <w:name w:val="Нет списка1"/>
    <w:next w:val="a2"/>
    <w:uiPriority w:val="99"/>
    <w:semiHidden/>
    <w:unhideWhenUsed/>
    <w:rsid w:val="00923279"/>
  </w:style>
  <w:style w:type="paragraph" w:styleId="21">
    <w:name w:val="toc 2"/>
    <w:basedOn w:val="a"/>
    <w:next w:val="a"/>
    <w:autoRedefine/>
    <w:uiPriority w:val="39"/>
    <w:unhideWhenUsed/>
    <w:rsid w:val="00923279"/>
    <w:pPr>
      <w:ind w:left="280" w:firstLine="709"/>
      <w:jc w:val="left"/>
    </w:pPr>
    <w:rPr>
      <w:rFonts w:asciiTheme="minorHAnsi" w:hAnsiTheme="minorHAnsi"/>
      <w:b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923279"/>
    <w:pPr>
      <w:ind w:left="560" w:firstLine="709"/>
      <w:jc w:val="left"/>
    </w:pPr>
    <w:rPr>
      <w:rFonts w:asciiTheme="minorHAnsi" w:hAnsiTheme="minorHAnsi"/>
      <w:sz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923279"/>
    <w:pPr>
      <w:ind w:left="840" w:firstLine="709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23279"/>
    <w:pPr>
      <w:ind w:left="1120" w:firstLine="709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923279"/>
    <w:pPr>
      <w:ind w:left="1400" w:firstLine="709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923279"/>
    <w:pPr>
      <w:ind w:left="1680" w:firstLine="709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923279"/>
    <w:pPr>
      <w:ind w:left="1960" w:firstLine="709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923279"/>
    <w:pPr>
      <w:ind w:left="2240" w:firstLine="709"/>
      <w:jc w:val="left"/>
    </w:pPr>
    <w:rPr>
      <w:rFonts w:asciiTheme="minorHAnsi" w:hAnsiTheme="minorHAnsi"/>
      <w:sz w:val="20"/>
      <w:szCs w:val="20"/>
    </w:rPr>
  </w:style>
  <w:style w:type="paragraph" w:styleId="af1">
    <w:name w:val="endnote text"/>
    <w:basedOn w:val="a"/>
    <w:link w:val="af2"/>
    <w:uiPriority w:val="99"/>
    <w:unhideWhenUsed/>
    <w:rsid w:val="00923279"/>
    <w:pPr>
      <w:spacing w:line="240" w:lineRule="auto"/>
      <w:ind w:firstLine="709"/>
    </w:pPr>
    <w:rPr>
      <w:sz w:val="24"/>
      <w:szCs w:val="24"/>
    </w:rPr>
  </w:style>
  <w:style w:type="character" w:customStyle="1" w:styleId="af2">
    <w:name w:val="Текст концевой сноски Знак"/>
    <w:basedOn w:val="a0"/>
    <w:link w:val="af1"/>
    <w:uiPriority w:val="99"/>
    <w:rsid w:val="00923279"/>
    <w:rPr>
      <w:rFonts w:ascii="Times New Roman" w:hAnsi="Times New Roman"/>
      <w:sz w:val="24"/>
      <w:szCs w:val="24"/>
    </w:rPr>
  </w:style>
  <w:style w:type="character" w:styleId="af3">
    <w:name w:val="endnote reference"/>
    <w:basedOn w:val="a0"/>
    <w:uiPriority w:val="99"/>
    <w:unhideWhenUsed/>
    <w:rsid w:val="009232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97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84F97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32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2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F9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A143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43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A143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432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A1432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a8">
    <w:name w:val="моё"/>
    <w:basedOn w:val="a"/>
    <w:rsid w:val="0095792F"/>
    <w:pPr>
      <w:suppressAutoHyphens/>
      <w:autoSpaceDE w:val="0"/>
      <w:autoSpaceDN w:val="0"/>
      <w:adjustRightInd w:val="0"/>
      <w:ind w:firstLine="720"/>
      <w:contextualSpacing/>
    </w:pPr>
    <w:rPr>
      <w:rFonts w:eastAsia="Times New Roman" w:cs="Times New Roman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79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92F"/>
    <w:rPr>
      <w:rFonts w:ascii="Tahoma" w:hAnsi="Tahoma" w:cs="Tahoma"/>
      <w:sz w:val="16"/>
      <w:szCs w:val="16"/>
    </w:rPr>
  </w:style>
  <w:style w:type="paragraph" w:customStyle="1" w:styleId="11">
    <w:name w:val="Текст сноски1"/>
    <w:basedOn w:val="a"/>
    <w:next w:val="ab"/>
    <w:link w:val="ac"/>
    <w:uiPriority w:val="99"/>
    <w:semiHidden/>
    <w:unhideWhenUsed/>
    <w:rsid w:val="002021AB"/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link w:val="11"/>
    <w:uiPriority w:val="99"/>
    <w:rsid w:val="002021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021AB"/>
    <w:rPr>
      <w:vertAlign w:val="superscript"/>
    </w:rPr>
  </w:style>
  <w:style w:type="paragraph" w:styleId="ae">
    <w:name w:val="TOC Heading"/>
    <w:basedOn w:val="1"/>
    <w:next w:val="a"/>
    <w:uiPriority w:val="39"/>
    <w:unhideWhenUsed/>
    <w:qFormat/>
    <w:rsid w:val="002021AB"/>
    <w:pPr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2">
    <w:name w:val="toc 1"/>
    <w:basedOn w:val="a"/>
    <w:next w:val="a"/>
    <w:autoRedefine/>
    <w:uiPriority w:val="39"/>
    <w:rsid w:val="002021AB"/>
    <w:rPr>
      <w:rFonts w:eastAsia="Times New Roman" w:cs="Times New Roman"/>
      <w:szCs w:val="24"/>
      <w:lang w:val="uk-UA" w:eastAsia="uk-UA"/>
    </w:rPr>
  </w:style>
  <w:style w:type="character" w:styleId="af">
    <w:name w:val="Hyperlink"/>
    <w:uiPriority w:val="99"/>
    <w:unhideWhenUsed/>
    <w:rsid w:val="002021AB"/>
    <w:rPr>
      <w:color w:val="0000FF"/>
      <w:u w:val="single"/>
    </w:rPr>
  </w:style>
  <w:style w:type="paragraph" w:styleId="ab">
    <w:name w:val="footnote text"/>
    <w:basedOn w:val="a"/>
    <w:link w:val="13"/>
    <w:uiPriority w:val="99"/>
    <w:unhideWhenUsed/>
    <w:rsid w:val="002021AB"/>
    <w:pPr>
      <w:spacing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b"/>
    <w:uiPriority w:val="99"/>
    <w:semiHidden/>
    <w:rsid w:val="002021AB"/>
    <w:rPr>
      <w:rFonts w:ascii="Times New Roman" w:hAnsi="Times New Roman"/>
      <w:sz w:val="20"/>
      <w:szCs w:val="20"/>
    </w:rPr>
  </w:style>
  <w:style w:type="table" w:styleId="af0">
    <w:name w:val="Table Grid"/>
    <w:basedOn w:val="a1"/>
    <w:uiPriority w:val="59"/>
    <w:rsid w:val="0051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23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2327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numbering" w:customStyle="1" w:styleId="14">
    <w:name w:val="Нет списка1"/>
    <w:next w:val="a2"/>
    <w:uiPriority w:val="99"/>
    <w:semiHidden/>
    <w:unhideWhenUsed/>
    <w:rsid w:val="00923279"/>
  </w:style>
  <w:style w:type="paragraph" w:styleId="21">
    <w:name w:val="toc 2"/>
    <w:basedOn w:val="a"/>
    <w:next w:val="a"/>
    <w:autoRedefine/>
    <w:uiPriority w:val="39"/>
    <w:unhideWhenUsed/>
    <w:rsid w:val="00923279"/>
    <w:pPr>
      <w:ind w:left="280" w:firstLine="709"/>
      <w:jc w:val="left"/>
    </w:pPr>
    <w:rPr>
      <w:rFonts w:asciiTheme="minorHAnsi" w:hAnsiTheme="minorHAnsi"/>
      <w:b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923279"/>
    <w:pPr>
      <w:ind w:left="560" w:firstLine="709"/>
      <w:jc w:val="left"/>
    </w:pPr>
    <w:rPr>
      <w:rFonts w:asciiTheme="minorHAnsi" w:hAnsiTheme="minorHAnsi"/>
      <w:sz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923279"/>
    <w:pPr>
      <w:ind w:left="840" w:firstLine="709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23279"/>
    <w:pPr>
      <w:ind w:left="1120" w:firstLine="709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923279"/>
    <w:pPr>
      <w:ind w:left="1400" w:firstLine="709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923279"/>
    <w:pPr>
      <w:ind w:left="1680" w:firstLine="709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923279"/>
    <w:pPr>
      <w:ind w:left="1960" w:firstLine="709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923279"/>
    <w:pPr>
      <w:ind w:left="2240" w:firstLine="709"/>
      <w:jc w:val="left"/>
    </w:pPr>
    <w:rPr>
      <w:rFonts w:asciiTheme="minorHAnsi" w:hAnsiTheme="minorHAnsi"/>
      <w:sz w:val="20"/>
      <w:szCs w:val="20"/>
    </w:rPr>
  </w:style>
  <w:style w:type="paragraph" w:styleId="af1">
    <w:name w:val="endnote text"/>
    <w:basedOn w:val="a"/>
    <w:link w:val="af2"/>
    <w:uiPriority w:val="99"/>
    <w:unhideWhenUsed/>
    <w:rsid w:val="00923279"/>
    <w:pPr>
      <w:spacing w:line="240" w:lineRule="auto"/>
      <w:ind w:firstLine="709"/>
    </w:pPr>
    <w:rPr>
      <w:sz w:val="24"/>
      <w:szCs w:val="24"/>
    </w:rPr>
  </w:style>
  <w:style w:type="character" w:customStyle="1" w:styleId="af2">
    <w:name w:val="Текст концевой сноски Знак"/>
    <w:basedOn w:val="a0"/>
    <w:link w:val="af1"/>
    <w:uiPriority w:val="99"/>
    <w:rsid w:val="00923279"/>
    <w:rPr>
      <w:rFonts w:ascii="Times New Roman" w:hAnsi="Times New Roman"/>
      <w:sz w:val="24"/>
      <w:szCs w:val="24"/>
    </w:rPr>
  </w:style>
  <w:style w:type="character" w:styleId="af3">
    <w:name w:val="endnote reference"/>
    <w:basedOn w:val="a0"/>
    <w:uiPriority w:val="99"/>
    <w:unhideWhenUsed/>
    <w:rsid w:val="009232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QuickStyle" Target="diagrams/quickStyle1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F:\Users\Dns\Desktop\&#1084;&#1091;&#1083;&#1100;&#1090;%202019-20\&#1082;&#1091;&#1088;&#1089;&#1086;&#1074;&#1099;&#1077;\&#1079;&#1072;&#1085;&#1103;&#1090;&#1086;&#1089;&#1090;&#1100;%20&#1080;%20&#1087;&#1088;&#1086;&#1080;&#1079;&#1074;&#1086;&#1076;&#1080;&#1090;&#1077;&#1083;&#1100;&#1089;&#1085;&#1086;&#1089;&#1090;&#1100;\111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F:\Users\Dns\Desktop\&#1084;&#1091;&#1083;&#1100;&#1090;%202019-20\&#1082;&#1091;&#1088;&#1089;&#1086;&#1074;&#1099;&#1077;\&#1079;&#1072;&#1085;&#1103;&#1090;&#1086;&#1089;&#1090;&#1100;%20&#1080;%20&#1087;&#1088;&#1086;&#1080;&#1079;&#1074;&#1086;&#1076;&#1080;&#1090;&#1077;&#1083;&#1100;&#1089;&#1085;&#1086;&#1089;&#1090;&#1100;\111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Услуги общедоступной почтовой связи</c:v>
                </c:pt>
                <c:pt idx="1">
                  <c:v>Железнодорожные перевозки</c:v>
                </c:pt>
                <c:pt idx="2">
                  <c:v>Услуги по передаче электрической (тепловой) энергии</c:v>
                </c:pt>
                <c:pt idx="3">
                  <c:v>Услуги аэропортов и услуги транспортных терминалов</c:v>
                </c:pt>
                <c:pt idx="4">
                  <c:v>Услуги портов (речной и морской транспорт)</c:v>
                </c:pt>
                <c:pt idx="5">
                  <c:v>Водоснабжение и водоотведение с использованием централизованных систем</c:v>
                </c:pt>
                <c:pt idx="6">
                  <c:v>Услуги по оперативно-диспетчерскому управлению в электроэнергетике</c:v>
                </c:pt>
                <c:pt idx="7">
                  <c:v>Услуги общедоступной электрической связи</c:v>
                </c:pt>
                <c:pt idx="8">
                  <c:v>Транспортировка газа по трубопроводам</c:v>
                </c:pt>
                <c:pt idx="9">
                  <c:v>Транспортировка нефти и нефтепродуктов по магистральным трубопроводам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407.71500000000003</c:v>
                </c:pt>
                <c:pt idx="1">
                  <c:v>2093.8049999999998</c:v>
                </c:pt>
                <c:pt idx="2">
                  <c:v>2771.6849999999986</c:v>
                </c:pt>
                <c:pt idx="3">
                  <c:v>2806.4400000000005</c:v>
                </c:pt>
                <c:pt idx="4">
                  <c:v>3487.5750000000012</c:v>
                </c:pt>
                <c:pt idx="5">
                  <c:v>3605.3849999999998</c:v>
                </c:pt>
                <c:pt idx="6">
                  <c:v>3640.56</c:v>
                </c:pt>
                <c:pt idx="7">
                  <c:v>3986.6400000000003</c:v>
                </c:pt>
                <c:pt idx="8">
                  <c:v>7058.1</c:v>
                </c:pt>
                <c:pt idx="9">
                  <c:v>18246.060000000001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3640960"/>
        <c:axId val="243646848"/>
      </c:barChart>
      <c:catAx>
        <c:axId val="243640960"/>
        <c:scaling>
          <c:orientation val="minMax"/>
        </c:scaling>
        <c:delete val="0"/>
        <c:axPos val="l"/>
        <c:minorGridlines/>
        <c:majorTickMark val="out"/>
        <c:minorTickMark val="none"/>
        <c:tickLblPos val="nextTo"/>
        <c:crossAx val="243646848"/>
        <c:crosses val="autoZero"/>
        <c:auto val="1"/>
        <c:lblAlgn val="ctr"/>
        <c:lblOffset val="100"/>
        <c:noMultiLvlLbl val="0"/>
      </c:catAx>
      <c:valAx>
        <c:axId val="2436468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3640960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FFFFFF"/>
      </a:solidFill>
    </a:ln>
  </c:spPr>
  <c:txPr>
    <a:bodyPr/>
    <a:lstStyle/>
    <a:p>
      <a:pPr>
        <a:defRPr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numRef>
              <c:f>Лист1!$A$2:$A$511</c:f>
              <c:numCache>
                <c:formatCode>General</c:formatCode>
                <c:ptCount val="5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Лист1!#ССЫЛКА!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Индекс уровня производительности труда, в % предыдущему году</c:v>
                </c:pt>
              </c:strCache>
            </c:strRef>
          </c:tx>
          <c:spPr>
            <a:ln>
              <a:solidFill>
                <a:schemeClr val="accent6">
                  <a:lumMod val="75000"/>
                </a:schemeClr>
              </a:solidFill>
            </a:ln>
          </c:spPr>
          <c:invertIfNegative val="0"/>
          <c:dLbls>
            <c:dLbl>
              <c:idx val="2"/>
              <c:layout>
                <c:manualLayout>
                  <c:x val="-2.31481481481481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00925925925925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5462962962962962E-2"/>
                  <c:y val="-3.9100684261974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3148148148148147E-3"/>
                  <c:y val="-3.9100684261974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3148148148148147E-3"/>
                  <c:y val="-4.3010752688172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6.9444444444444441E-3"/>
                  <c:y val="-4.3010752688172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Лист1!$A$2:$A$511</c:f>
              <c:numCache>
                <c:formatCode>General</c:formatCode>
                <c:ptCount val="5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104.8</c:v>
                </c:pt>
                <c:pt idx="1">
                  <c:v>95.9</c:v>
                </c:pt>
                <c:pt idx="2">
                  <c:v>103.2</c:v>
                </c:pt>
                <c:pt idx="3">
                  <c:v>103.8</c:v>
                </c:pt>
                <c:pt idx="4">
                  <c:v>103.5</c:v>
                </c:pt>
                <c:pt idx="5">
                  <c:v>101.8</c:v>
                </c:pt>
                <c:pt idx="6">
                  <c:v>100.7</c:v>
                </c:pt>
                <c:pt idx="7">
                  <c:v>97.8</c:v>
                </c:pt>
                <c:pt idx="8">
                  <c:v>99.7</c:v>
                </c:pt>
                <c:pt idx="9">
                  <c:v>101.6</c:v>
                </c:pt>
              </c:numCache>
            </c:numRef>
          </c:val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Индекс уровня занятости в экономики РФ</c:v>
                </c:pt>
              </c:strCache>
            </c:strRef>
          </c:tx>
          <c:spPr>
            <a:ln>
              <a:solidFill>
                <a:schemeClr val="bg2">
                  <a:lumMod val="25000"/>
                </a:schemeClr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Лист1!$A$2:$A$511</c:f>
              <c:numCache>
                <c:formatCode>General</c:formatCode>
                <c:ptCount val="5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102.6</c:v>
                </c:pt>
                <c:pt idx="1">
                  <c:v>101.1</c:v>
                </c:pt>
                <c:pt idx="2">
                  <c:v>101.9</c:v>
                </c:pt>
                <c:pt idx="3">
                  <c:v>101.6</c:v>
                </c:pt>
                <c:pt idx="4">
                  <c:v>99.8</c:v>
                </c:pt>
                <c:pt idx="5">
                  <c:v>100.8</c:v>
                </c:pt>
                <c:pt idx="6">
                  <c:v>100</c:v>
                </c:pt>
                <c:pt idx="7">
                  <c:v>100.6</c:v>
                </c:pt>
                <c:pt idx="8">
                  <c:v>99.7</c:v>
                </c:pt>
                <c:pt idx="9" formatCode="0.0">
                  <c:v>100.2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3869568"/>
        <c:axId val="243871104"/>
      </c:barChart>
      <c:catAx>
        <c:axId val="243869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3871104"/>
        <c:crosses val="autoZero"/>
        <c:auto val="1"/>
        <c:lblAlgn val="ctr"/>
        <c:lblOffset val="100"/>
        <c:noMultiLvlLbl val="0"/>
      </c:catAx>
      <c:valAx>
        <c:axId val="243871104"/>
        <c:scaling>
          <c:orientation val="minMax"/>
          <c:min val="6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3869568"/>
        <c:crosses val="autoZero"/>
        <c:crossBetween val="between"/>
      </c:valAx>
    </c:plotArea>
    <c:legend>
      <c:legendPos val="b"/>
      <c:legendEntry>
        <c:idx val="0"/>
        <c:delete val="1"/>
      </c:legendEntry>
      <c:overlay val="0"/>
    </c:legend>
    <c:plotVisOnly val="1"/>
    <c:dispBlanksAs val="gap"/>
    <c:showDLblsOverMax val="0"/>
  </c:chart>
  <c:spPr>
    <a:ln>
      <a:solidFill>
        <a:srgbClr val="FFFFFF"/>
      </a:solidFill>
    </a:ln>
  </c:spPr>
  <c:txPr>
    <a:bodyPr/>
    <a:lstStyle/>
    <a:p>
      <a:pPr>
        <a:defRPr>
          <a:latin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dLbls>
            <c:dLbl>
              <c:idx val="3"/>
              <c:layout>
                <c:manualLayout>
                  <c:x val="-2.2371364653243847E-3"/>
                  <c:y val="-5.5555555555555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(Лист1!$D$2:$M$2,Лист1!$M$24:$P$24)</c:f>
              <c:strCache>
                <c:ptCount val="13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 (оценка)</c:v>
                </c:pt>
                <c:pt idx="11">
                  <c:v>2020 (прогноз)</c:v>
                </c:pt>
                <c:pt idx="12">
                  <c:v>2021 (прогноз)</c:v>
                </c:pt>
              </c:strCache>
            </c:strRef>
          </c:cat>
          <c:val>
            <c:numRef>
              <c:f>Лист1!$C$25:$O$25</c:f>
              <c:numCache>
                <c:formatCode>General</c:formatCode>
                <c:ptCount val="13"/>
                <c:pt idx="0">
                  <c:v>104.8</c:v>
                </c:pt>
                <c:pt idx="1">
                  <c:v>95.9</c:v>
                </c:pt>
                <c:pt idx="2">
                  <c:v>103.2</c:v>
                </c:pt>
                <c:pt idx="3">
                  <c:v>103.8</c:v>
                </c:pt>
                <c:pt idx="4">
                  <c:v>103.5</c:v>
                </c:pt>
                <c:pt idx="5">
                  <c:v>101.8</c:v>
                </c:pt>
                <c:pt idx="6">
                  <c:v>100.7</c:v>
                </c:pt>
                <c:pt idx="7">
                  <c:v>97.8</c:v>
                </c:pt>
                <c:pt idx="8">
                  <c:v>99.7</c:v>
                </c:pt>
                <c:pt idx="9">
                  <c:v>101.6</c:v>
                </c:pt>
                <c:pt idx="10">
                  <c:v>102.6</c:v>
                </c:pt>
                <c:pt idx="11" formatCode="0.0">
                  <c:v>103.66760000000001</c:v>
                </c:pt>
                <c:pt idx="12" formatCode="0.0">
                  <c:v>104.5449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3888512"/>
        <c:axId val="243889664"/>
      </c:lineChart>
      <c:catAx>
        <c:axId val="24388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43889664"/>
        <c:crosses val="autoZero"/>
        <c:auto val="1"/>
        <c:lblAlgn val="ctr"/>
        <c:lblOffset val="100"/>
        <c:noMultiLvlLbl val="0"/>
      </c:catAx>
      <c:valAx>
        <c:axId val="2438896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4388851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trendline>
            <c:trendlineType val="linear"/>
            <c:dispRSqr val="0"/>
            <c:dispEq val="1"/>
            <c:trendlineLbl>
              <c:layout>
                <c:manualLayout>
                  <c:x val="0.29838998250218723"/>
                  <c:y val="-0.2058643190434529"/>
                </c:manualLayout>
              </c:layout>
              <c:numFmt formatCode="General" sourceLinked="0"/>
            </c:trendlineLbl>
          </c:trendline>
          <c:cat>
            <c:strRef>
              <c:f>Лист1!$D$2:$P$2</c:f>
              <c:strCache>
                <c:ptCount val="13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 (оценка)</c:v>
                </c:pt>
                <c:pt idx="11">
                  <c:v>2020 (прогноз)</c:v>
                </c:pt>
                <c:pt idx="12">
                  <c:v>2021 (прогноз)</c:v>
                </c:pt>
              </c:strCache>
            </c:strRef>
          </c:cat>
          <c:val>
            <c:numRef>
              <c:f>Лист1!$C$48:$C$60</c:f>
              <c:numCache>
                <c:formatCode>General</c:formatCode>
                <c:ptCount val="13"/>
                <c:pt idx="0">
                  <c:v>102.6</c:v>
                </c:pt>
                <c:pt idx="1">
                  <c:v>101.1</c:v>
                </c:pt>
                <c:pt idx="2">
                  <c:v>101.9</c:v>
                </c:pt>
                <c:pt idx="3">
                  <c:v>101.6</c:v>
                </c:pt>
                <c:pt idx="4">
                  <c:v>99.8</c:v>
                </c:pt>
                <c:pt idx="5">
                  <c:v>100.8</c:v>
                </c:pt>
                <c:pt idx="6">
                  <c:v>100</c:v>
                </c:pt>
                <c:pt idx="7">
                  <c:v>100.6</c:v>
                </c:pt>
                <c:pt idx="8">
                  <c:v>99.7</c:v>
                </c:pt>
                <c:pt idx="9">
                  <c:v>100.2</c:v>
                </c:pt>
                <c:pt idx="10" formatCode="0.0">
                  <c:v>100.44029999999999</c:v>
                </c:pt>
                <c:pt idx="11" formatCode="0.0">
                  <c:v>101.1876</c:v>
                </c:pt>
                <c:pt idx="12" formatCode="0.0">
                  <c:v>101.9349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2564992"/>
        <c:axId val="252566528"/>
      </c:barChart>
      <c:catAx>
        <c:axId val="252564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52566528"/>
        <c:crosses val="autoZero"/>
        <c:auto val="1"/>
        <c:lblAlgn val="ctr"/>
        <c:lblOffset val="100"/>
        <c:noMultiLvlLbl val="0"/>
      </c:catAx>
      <c:valAx>
        <c:axId val="252566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2564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1A2473-0A94-46CB-AE76-8823EE5BF286}" type="doc">
      <dgm:prSet loTypeId="urn:microsoft.com/office/officeart/2005/8/layout/orgChart1" loCatId="hierarchy" qsTypeId="urn:microsoft.com/office/officeart/2005/8/quickstyle/simple1#2" qsCatId="simple" csTypeId="urn:microsoft.com/office/officeart/2005/8/colors/accent0_1" csCatId="mainScheme" phldr="1"/>
      <dgm:spPr/>
    </dgm:pt>
    <dgm:pt modelId="{F4126D5A-DA86-4001-BF7D-AEB40A10C412}">
      <dgm:prSet custT="1"/>
      <dgm:spPr/>
      <dgm:t>
        <a:bodyPr/>
        <a:lstStyle/>
        <a:p>
          <a:pPr marR="0" algn="ctr" rtl="0"/>
          <a:r>
            <a:rPr lang="ru-RU" sz="1400">
              <a:latin typeface="Times New Roman" pitchFamily="18" charset="0"/>
              <a:cs typeface="Times New Roman" pitchFamily="18" charset="0"/>
            </a:rPr>
            <a:t>Целевая программа</a:t>
          </a:r>
          <a:endParaRPr lang="ru-RU" sz="1400" smtClean="0"/>
        </a:p>
      </dgm:t>
    </dgm:pt>
    <dgm:pt modelId="{BED3E7CE-803A-487C-BF72-9906B6A0C746}" type="parTrans" cxnId="{79BB502C-0AE9-4587-BBCF-32D655CB1BC2}">
      <dgm:prSet/>
      <dgm:spPr/>
      <dgm:t>
        <a:bodyPr/>
        <a:lstStyle/>
        <a:p>
          <a:endParaRPr lang="ru-RU"/>
        </a:p>
      </dgm:t>
    </dgm:pt>
    <dgm:pt modelId="{011D17D6-4854-4C45-985C-49E1A54BF0BA}" type="sibTrans" cxnId="{79BB502C-0AE9-4587-BBCF-32D655CB1BC2}">
      <dgm:prSet/>
      <dgm:spPr/>
      <dgm:t>
        <a:bodyPr/>
        <a:lstStyle/>
        <a:p>
          <a:endParaRPr lang="ru-RU"/>
        </a:p>
      </dgm:t>
    </dgm:pt>
    <dgm:pt modelId="{4BC340C6-63FE-40BA-83B8-A5FDB9CBD8C4}">
      <dgm:prSet custT="1"/>
      <dgm:spPr/>
      <dgm:t>
        <a:bodyPr/>
        <a:lstStyle/>
        <a:p>
          <a:pPr marR="0" algn="ctr"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Долгосрочные (10-20 лет)</a:t>
          </a:r>
        </a:p>
      </dgm:t>
    </dgm:pt>
    <dgm:pt modelId="{6DC8A0AC-A627-45B2-92F2-5207151E602D}" type="parTrans" cxnId="{AC0317A3-DB88-4FD6-A1D1-81E9A21EC476}">
      <dgm:prSet/>
      <dgm:spPr/>
      <dgm:t>
        <a:bodyPr/>
        <a:lstStyle/>
        <a:p>
          <a:endParaRPr lang="ru-RU"/>
        </a:p>
      </dgm:t>
    </dgm:pt>
    <dgm:pt modelId="{F915F5A7-3476-48B1-A672-BA8694B155FC}" type="sibTrans" cxnId="{AC0317A3-DB88-4FD6-A1D1-81E9A21EC476}">
      <dgm:prSet/>
      <dgm:spPr/>
      <dgm:t>
        <a:bodyPr/>
        <a:lstStyle/>
        <a:p>
          <a:endParaRPr lang="ru-RU"/>
        </a:p>
      </dgm:t>
    </dgm:pt>
    <dgm:pt modelId="{FA1793D3-4EAA-45CC-B2FF-DBF050CA37F5}">
      <dgm:prSet custT="1"/>
      <dgm:spPr/>
      <dgm:t>
        <a:bodyPr/>
        <a:lstStyle/>
        <a:p>
          <a:pPr marR="0" algn="ctr"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Среднесрочные (5- 10 лет)</a:t>
          </a:r>
        </a:p>
      </dgm:t>
    </dgm:pt>
    <dgm:pt modelId="{E3056065-774C-4D64-839A-B02CB3BF2857}" type="parTrans" cxnId="{35A6F0CB-D432-47A3-ACB5-5FC0C8719488}">
      <dgm:prSet/>
      <dgm:spPr/>
      <dgm:t>
        <a:bodyPr/>
        <a:lstStyle/>
        <a:p>
          <a:endParaRPr lang="ru-RU"/>
        </a:p>
      </dgm:t>
    </dgm:pt>
    <dgm:pt modelId="{C3DA2D4C-E261-452D-8239-14DC771C52B9}" type="sibTrans" cxnId="{35A6F0CB-D432-47A3-ACB5-5FC0C8719488}">
      <dgm:prSet/>
      <dgm:spPr/>
      <dgm:t>
        <a:bodyPr/>
        <a:lstStyle/>
        <a:p>
          <a:endParaRPr lang="ru-RU"/>
        </a:p>
      </dgm:t>
    </dgm:pt>
    <dgm:pt modelId="{4A4EC300-50A4-4E43-B58F-C178C1D89539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Краткосрочные (до 5 лет)</a:t>
          </a:r>
        </a:p>
      </dgm:t>
    </dgm:pt>
    <dgm:pt modelId="{3434E833-8FBC-415B-A67F-1660DC502194}" type="parTrans" cxnId="{8758BD84-322E-4756-94D6-490E0A6B4747}">
      <dgm:prSet/>
      <dgm:spPr/>
      <dgm:t>
        <a:bodyPr/>
        <a:lstStyle/>
        <a:p>
          <a:endParaRPr lang="ru-RU"/>
        </a:p>
      </dgm:t>
    </dgm:pt>
    <dgm:pt modelId="{1DDDD588-6F97-4B23-863C-640FA8FB545C}" type="sibTrans" cxnId="{8758BD84-322E-4756-94D6-490E0A6B4747}">
      <dgm:prSet/>
      <dgm:spPr/>
      <dgm:t>
        <a:bodyPr/>
        <a:lstStyle/>
        <a:p>
          <a:endParaRPr lang="ru-RU"/>
        </a:p>
      </dgm:t>
    </dgm:pt>
    <dgm:pt modelId="{4707FFE4-C4DB-4A0D-87DB-13419B98B630}" type="pres">
      <dgm:prSet presAssocID="{A51A2473-0A94-46CB-AE76-8823EE5BF28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4D3EF08-085F-487B-A0B4-953B9B7666E8}" type="pres">
      <dgm:prSet presAssocID="{F4126D5A-DA86-4001-BF7D-AEB40A10C412}" presName="hierRoot1" presStyleCnt="0">
        <dgm:presLayoutVars>
          <dgm:hierBranch/>
        </dgm:presLayoutVars>
      </dgm:prSet>
      <dgm:spPr/>
    </dgm:pt>
    <dgm:pt modelId="{36126136-7599-4C23-9F59-97CE93E807B1}" type="pres">
      <dgm:prSet presAssocID="{F4126D5A-DA86-4001-BF7D-AEB40A10C412}" presName="rootComposite1" presStyleCnt="0"/>
      <dgm:spPr/>
    </dgm:pt>
    <dgm:pt modelId="{E8023E41-2494-4D3E-965D-DDF315CF32D7}" type="pres">
      <dgm:prSet presAssocID="{F4126D5A-DA86-4001-BF7D-AEB40A10C412}" presName="rootText1" presStyleLbl="node0" presStyleIdx="0" presStyleCnt="1" custScaleX="352487" custScaleY="58908" custLinFactNeighborX="144" custLinFactNeighborY="-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DE42E9D-5E85-4B01-A6B6-5D2208CBDFF2}" type="pres">
      <dgm:prSet presAssocID="{F4126D5A-DA86-4001-BF7D-AEB40A10C412}" presName="rootConnector1" presStyleLbl="node1" presStyleIdx="0" presStyleCnt="0"/>
      <dgm:spPr/>
      <dgm:t>
        <a:bodyPr/>
        <a:lstStyle/>
        <a:p>
          <a:endParaRPr lang="ru-RU"/>
        </a:p>
      </dgm:t>
    </dgm:pt>
    <dgm:pt modelId="{C247F1D4-877E-4FA7-91B4-80C93F02EC29}" type="pres">
      <dgm:prSet presAssocID="{F4126D5A-DA86-4001-BF7D-AEB40A10C412}" presName="hierChild2" presStyleCnt="0"/>
      <dgm:spPr/>
    </dgm:pt>
    <dgm:pt modelId="{8EA8E09F-0C03-42C2-8C71-F5B5B37045F2}" type="pres">
      <dgm:prSet presAssocID="{6DC8A0AC-A627-45B2-92F2-5207151E602D}" presName="Name35" presStyleLbl="parChTrans1D2" presStyleIdx="0" presStyleCnt="3"/>
      <dgm:spPr/>
      <dgm:t>
        <a:bodyPr/>
        <a:lstStyle/>
        <a:p>
          <a:endParaRPr lang="ru-RU"/>
        </a:p>
      </dgm:t>
    </dgm:pt>
    <dgm:pt modelId="{92396821-9165-4490-ACFC-AA79BEFE6A3F}" type="pres">
      <dgm:prSet presAssocID="{4BC340C6-63FE-40BA-83B8-A5FDB9CBD8C4}" presName="hierRoot2" presStyleCnt="0">
        <dgm:presLayoutVars>
          <dgm:hierBranch/>
        </dgm:presLayoutVars>
      </dgm:prSet>
      <dgm:spPr/>
    </dgm:pt>
    <dgm:pt modelId="{5EB5592D-A111-442F-8526-828F3457E266}" type="pres">
      <dgm:prSet presAssocID="{4BC340C6-63FE-40BA-83B8-A5FDB9CBD8C4}" presName="rootComposite" presStyleCnt="0"/>
      <dgm:spPr/>
    </dgm:pt>
    <dgm:pt modelId="{9B5EBFB2-EBAB-4230-9A28-327738FFAA01}" type="pres">
      <dgm:prSet presAssocID="{4BC340C6-63FE-40BA-83B8-A5FDB9CBD8C4}" presName="rootText" presStyleLbl="node2" presStyleIdx="0" presStyleCnt="3" custScaleY="747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F415CDA-F0EC-4368-8311-2601EAC2B673}" type="pres">
      <dgm:prSet presAssocID="{4BC340C6-63FE-40BA-83B8-A5FDB9CBD8C4}" presName="rootConnector" presStyleLbl="node2" presStyleIdx="0" presStyleCnt="3"/>
      <dgm:spPr/>
      <dgm:t>
        <a:bodyPr/>
        <a:lstStyle/>
        <a:p>
          <a:endParaRPr lang="ru-RU"/>
        </a:p>
      </dgm:t>
    </dgm:pt>
    <dgm:pt modelId="{C3D1DBBC-7158-4883-88C7-9B26184FF4A0}" type="pres">
      <dgm:prSet presAssocID="{4BC340C6-63FE-40BA-83B8-A5FDB9CBD8C4}" presName="hierChild4" presStyleCnt="0"/>
      <dgm:spPr/>
    </dgm:pt>
    <dgm:pt modelId="{AD1BFB06-7ED5-463D-9A5C-4A090A140505}" type="pres">
      <dgm:prSet presAssocID="{4BC340C6-63FE-40BA-83B8-A5FDB9CBD8C4}" presName="hierChild5" presStyleCnt="0"/>
      <dgm:spPr/>
    </dgm:pt>
    <dgm:pt modelId="{8AD6D5AD-A251-4F31-815C-ED644E2BBCE7}" type="pres">
      <dgm:prSet presAssocID="{E3056065-774C-4D64-839A-B02CB3BF2857}" presName="Name35" presStyleLbl="parChTrans1D2" presStyleIdx="1" presStyleCnt="3"/>
      <dgm:spPr/>
      <dgm:t>
        <a:bodyPr/>
        <a:lstStyle/>
        <a:p>
          <a:endParaRPr lang="ru-RU"/>
        </a:p>
      </dgm:t>
    </dgm:pt>
    <dgm:pt modelId="{C1DCC59B-28CF-40E1-A08A-69C86162AE2B}" type="pres">
      <dgm:prSet presAssocID="{FA1793D3-4EAA-45CC-B2FF-DBF050CA37F5}" presName="hierRoot2" presStyleCnt="0">
        <dgm:presLayoutVars>
          <dgm:hierBranch/>
        </dgm:presLayoutVars>
      </dgm:prSet>
      <dgm:spPr/>
    </dgm:pt>
    <dgm:pt modelId="{1EE9778F-7FA8-49F8-9AB7-04D3F27CAFC8}" type="pres">
      <dgm:prSet presAssocID="{FA1793D3-4EAA-45CC-B2FF-DBF050CA37F5}" presName="rootComposite" presStyleCnt="0"/>
      <dgm:spPr/>
    </dgm:pt>
    <dgm:pt modelId="{861F7EDB-E807-4D2A-879B-8F77F9079173}" type="pres">
      <dgm:prSet presAssocID="{FA1793D3-4EAA-45CC-B2FF-DBF050CA37F5}" presName="rootText" presStyleLbl="node2" presStyleIdx="1" presStyleCnt="3" custScaleY="747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84E7EC2-0C45-4910-ADE4-A664C28643FD}" type="pres">
      <dgm:prSet presAssocID="{FA1793D3-4EAA-45CC-B2FF-DBF050CA37F5}" presName="rootConnector" presStyleLbl="node2" presStyleIdx="1" presStyleCnt="3"/>
      <dgm:spPr/>
      <dgm:t>
        <a:bodyPr/>
        <a:lstStyle/>
        <a:p>
          <a:endParaRPr lang="ru-RU"/>
        </a:p>
      </dgm:t>
    </dgm:pt>
    <dgm:pt modelId="{62104976-53B1-44B3-BFE5-013E0B67ADD1}" type="pres">
      <dgm:prSet presAssocID="{FA1793D3-4EAA-45CC-B2FF-DBF050CA37F5}" presName="hierChild4" presStyleCnt="0"/>
      <dgm:spPr/>
    </dgm:pt>
    <dgm:pt modelId="{3C7F1C09-F24F-4AD1-8009-2551E83C61B9}" type="pres">
      <dgm:prSet presAssocID="{FA1793D3-4EAA-45CC-B2FF-DBF050CA37F5}" presName="hierChild5" presStyleCnt="0"/>
      <dgm:spPr/>
    </dgm:pt>
    <dgm:pt modelId="{08D7A26E-AAD7-4F4B-B27B-EA9462B13435}" type="pres">
      <dgm:prSet presAssocID="{3434E833-8FBC-415B-A67F-1660DC502194}" presName="Name35" presStyleLbl="parChTrans1D2" presStyleIdx="2" presStyleCnt="3"/>
      <dgm:spPr/>
      <dgm:t>
        <a:bodyPr/>
        <a:lstStyle/>
        <a:p>
          <a:endParaRPr lang="ru-RU"/>
        </a:p>
      </dgm:t>
    </dgm:pt>
    <dgm:pt modelId="{E919703E-DCF8-48A4-BEA1-EB3FCDA5050A}" type="pres">
      <dgm:prSet presAssocID="{4A4EC300-50A4-4E43-B58F-C178C1D89539}" presName="hierRoot2" presStyleCnt="0">
        <dgm:presLayoutVars>
          <dgm:hierBranch val="init"/>
        </dgm:presLayoutVars>
      </dgm:prSet>
      <dgm:spPr/>
    </dgm:pt>
    <dgm:pt modelId="{4DDDFFBF-0C12-4780-9237-BF9F9BC4F9E4}" type="pres">
      <dgm:prSet presAssocID="{4A4EC300-50A4-4E43-B58F-C178C1D89539}" presName="rootComposite" presStyleCnt="0"/>
      <dgm:spPr/>
    </dgm:pt>
    <dgm:pt modelId="{78D79D19-21E7-46B5-89BC-6D5981A12F32}" type="pres">
      <dgm:prSet presAssocID="{4A4EC300-50A4-4E43-B58F-C178C1D89539}" presName="rootText" presStyleLbl="node2" presStyleIdx="2" presStyleCnt="3" custScaleY="716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F25677-D1B9-4CAB-8F76-BED4174FEF6F}" type="pres">
      <dgm:prSet presAssocID="{4A4EC300-50A4-4E43-B58F-C178C1D89539}" presName="rootConnector" presStyleLbl="node2" presStyleIdx="2" presStyleCnt="3"/>
      <dgm:spPr/>
      <dgm:t>
        <a:bodyPr/>
        <a:lstStyle/>
        <a:p>
          <a:endParaRPr lang="ru-RU"/>
        </a:p>
      </dgm:t>
    </dgm:pt>
    <dgm:pt modelId="{760A66FC-CE96-45F3-893C-637795A29EE7}" type="pres">
      <dgm:prSet presAssocID="{4A4EC300-50A4-4E43-B58F-C178C1D89539}" presName="hierChild4" presStyleCnt="0"/>
      <dgm:spPr/>
    </dgm:pt>
    <dgm:pt modelId="{4F1655DF-7B90-422C-A688-10F609FD46CE}" type="pres">
      <dgm:prSet presAssocID="{4A4EC300-50A4-4E43-B58F-C178C1D89539}" presName="hierChild5" presStyleCnt="0"/>
      <dgm:spPr/>
    </dgm:pt>
    <dgm:pt modelId="{5A548FF9-D02B-4180-A6B5-D3123A3105CD}" type="pres">
      <dgm:prSet presAssocID="{F4126D5A-DA86-4001-BF7D-AEB40A10C412}" presName="hierChild3" presStyleCnt="0"/>
      <dgm:spPr/>
    </dgm:pt>
  </dgm:ptLst>
  <dgm:cxnLst>
    <dgm:cxn modelId="{F947B1F8-1735-4CC6-8AB8-302596A31F59}" type="presOf" srcId="{E3056065-774C-4D64-839A-B02CB3BF2857}" destId="{8AD6D5AD-A251-4F31-815C-ED644E2BBCE7}" srcOrd="0" destOrd="0" presId="urn:microsoft.com/office/officeart/2005/8/layout/orgChart1"/>
    <dgm:cxn modelId="{CED83CAE-4C0B-4E6C-9892-C7D2057DC64C}" type="presOf" srcId="{4A4EC300-50A4-4E43-B58F-C178C1D89539}" destId="{F3F25677-D1B9-4CAB-8F76-BED4174FEF6F}" srcOrd="1" destOrd="0" presId="urn:microsoft.com/office/officeart/2005/8/layout/orgChart1"/>
    <dgm:cxn modelId="{198FA112-9398-4901-8173-480FD8B35C6C}" type="presOf" srcId="{F4126D5A-DA86-4001-BF7D-AEB40A10C412}" destId="{E8023E41-2494-4D3E-965D-DDF315CF32D7}" srcOrd="0" destOrd="0" presId="urn:microsoft.com/office/officeart/2005/8/layout/orgChart1"/>
    <dgm:cxn modelId="{8758BD84-322E-4756-94D6-490E0A6B4747}" srcId="{F4126D5A-DA86-4001-BF7D-AEB40A10C412}" destId="{4A4EC300-50A4-4E43-B58F-C178C1D89539}" srcOrd="2" destOrd="0" parTransId="{3434E833-8FBC-415B-A67F-1660DC502194}" sibTransId="{1DDDD588-6F97-4B23-863C-640FA8FB545C}"/>
    <dgm:cxn modelId="{35A6F0CB-D432-47A3-ACB5-5FC0C8719488}" srcId="{F4126D5A-DA86-4001-BF7D-AEB40A10C412}" destId="{FA1793D3-4EAA-45CC-B2FF-DBF050CA37F5}" srcOrd="1" destOrd="0" parTransId="{E3056065-774C-4D64-839A-B02CB3BF2857}" sibTransId="{C3DA2D4C-E261-452D-8239-14DC771C52B9}"/>
    <dgm:cxn modelId="{64E1FAD7-115F-4B0B-A082-E04AC6724570}" type="presOf" srcId="{4BC340C6-63FE-40BA-83B8-A5FDB9CBD8C4}" destId="{8F415CDA-F0EC-4368-8311-2601EAC2B673}" srcOrd="1" destOrd="0" presId="urn:microsoft.com/office/officeart/2005/8/layout/orgChart1"/>
    <dgm:cxn modelId="{1429E3DC-5016-4A2E-AABD-18CC4FF15838}" type="presOf" srcId="{6DC8A0AC-A627-45B2-92F2-5207151E602D}" destId="{8EA8E09F-0C03-42C2-8C71-F5B5B37045F2}" srcOrd="0" destOrd="0" presId="urn:microsoft.com/office/officeart/2005/8/layout/orgChart1"/>
    <dgm:cxn modelId="{BCF2FCE8-3511-493E-B5F1-0BD5B224D829}" type="presOf" srcId="{4A4EC300-50A4-4E43-B58F-C178C1D89539}" destId="{78D79D19-21E7-46B5-89BC-6D5981A12F32}" srcOrd="0" destOrd="0" presId="urn:microsoft.com/office/officeart/2005/8/layout/orgChart1"/>
    <dgm:cxn modelId="{BE3CF3C9-84D6-4634-B886-46517DD2C975}" type="presOf" srcId="{F4126D5A-DA86-4001-BF7D-AEB40A10C412}" destId="{CDE42E9D-5E85-4B01-A6B6-5D2208CBDFF2}" srcOrd="1" destOrd="0" presId="urn:microsoft.com/office/officeart/2005/8/layout/orgChart1"/>
    <dgm:cxn modelId="{A715702C-1D69-4239-BC55-9CCFD43646CB}" type="presOf" srcId="{4BC340C6-63FE-40BA-83B8-A5FDB9CBD8C4}" destId="{9B5EBFB2-EBAB-4230-9A28-327738FFAA01}" srcOrd="0" destOrd="0" presId="urn:microsoft.com/office/officeart/2005/8/layout/orgChart1"/>
    <dgm:cxn modelId="{BC8F22B7-FAF1-40E3-9CE2-E36A1237731A}" type="presOf" srcId="{3434E833-8FBC-415B-A67F-1660DC502194}" destId="{08D7A26E-AAD7-4F4B-B27B-EA9462B13435}" srcOrd="0" destOrd="0" presId="urn:microsoft.com/office/officeart/2005/8/layout/orgChart1"/>
    <dgm:cxn modelId="{7C24BA5F-01E7-44DB-BF41-53397C2A706F}" type="presOf" srcId="{A51A2473-0A94-46CB-AE76-8823EE5BF286}" destId="{4707FFE4-C4DB-4A0D-87DB-13419B98B630}" srcOrd="0" destOrd="0" presId="urn:microsoft.com/office/officeart/2005/8/layout/orgChart1"/>
    <dgm:cxn modelId="{79BB502C-0AE9-4587-BBCF-32D655CB1BC2}" srcId="{A51A2473-0A94-46CB-AE76-8823EE5BF286}" destId="{F4126D5A-DA86-4001-BF7D-AEB40A10C412}" srcOrd="0" destOrd="0" parTransId="{BED3E7CE-803A-487C-BF72-9906B6A0C746}" sibTransId="{011D17D6-4854-4C45-985C-49E1A54BF0BA}"/>
    <dgm:cxn modelId="{AC0317A3-DB88-4FD6-A1D1-81E9A21EC476}" srcId="{F4126D5A-DA86-4001-BF7D-AEB40A10C412}" destId="{4BC340C6-63FE-40BA-83B8-A5FDB9CBD8C4}" srcOrd="0" destOrd="0" parTransId="{6DC8A0AC-A627-45B2-92F2-5207151E602D}" sibTransId="{F915F5A7-3476-48B1-A672-BA8694B155FC}"/>
    <dgm:cxn modelId="{4CECB2D9-ECAA-4DDF-A087-2B24BE78F0E3}" type="presOf" srcId="{FA1793D3-4EAA-45CC-B2FF-DBF050CA37F5}" destId="{284E7EC2-0C45-4910-ADE4-A664C28643FD}" srcOrd="1" destOrd="0" presId="urn:microsoft.com/office/officeart/2005/8/layout/orgChart1"/>
    <dgm:cxn modelId="{C56AC7D6-983C-4E8B-8F07-F5C8D51FF046}" type="presOf" srcId="{FA1793D3-4EAA-45CC-B2FF-DBF050CA37F5}" destId="{861F7EDB-E807-4D2A-879B-8F77F9079173}" srcOrd="0" destOrd="0" presId="urn:microsoft.com/office/officeart/2005/8/layout/orgChart1"/>
    <dgm:cxn modelId="{A71C1C20-3CA1-4BED-8368-08DD51A4B956}" type="presParOf" srcId="{4707FFE4-C4DB-4A0D-87DB-13419B98B630}" destId="{94D3EF08-085F-487B-A0B4-953B9B7666E8}" srcOrd="0" destOrd="0" presId="urn:microsoft.com/office/officeart/2005/8/layout/orgChart1"/>
    <dgm:cxn modelId="{0A6F21A2-7E84-4D04-9E62-DA5E5A7D1CDB}" type="presParOf" srcId="{94D3EF08-085F-487B-A0B4-953B9B7666E8}" destId="{36126136-7599-4C23-9F59-97CE93E807B1}" srcOrd="0" destOrd="0" presId="urn:microsoft.com/office/officeart/2005/8/layout/orgChart1"/>
    <dgm:cxn modelId="{AB7AC367-7773-499E-863B-7FCDCF0CA5DE}" type="presParOf" srcId="{36126136-7599-4C23-9F59-97CE93E807B1}" destId="{E8023E41-2494-4D3E-965D-DDF315CF32D7}" srcOrd="0" destOrd="0" presId="urn:microsoft.com/office/officeart/2005/8/layout/orgChart1"/>
    <dgm:cxn modelId="{8280017D-7383-4EA9-ACE9-581F229ACFC4}" type="presParOf" srcId="{36126136-7599-4C23-9F59-97CE93E807B1}" destId="{CDE42E9D-5E85-4B01-A6B6-5D2208CBDFF2}" srcOrd="1" destOrd="0" presId="urn:microsoft.com/office/officeart/2005/8/layout/orgChart1"/>
    <dgm:cxn modelId="{F757F158-5693-4F32-9F46-BC3134DAB9EF}" type="presParOf" srcId="{94D3EF08-085F-487B-A0B4-953B9B7666E8}" destId="{C247F1D4-877E-4FA7-91B4-80C93F02EC29}" srcOrd="1" destOrd="0" presId="urn:microsoft.com/office/officeart/2005/8/layout/orgChart1"/>
    <dgm:cxn modelId="{02BA089B-EED5-4307-8751-BB8DF4D36A34}" type="presParOf" srcId="{C247F1D4-877E-4FA7-91B4-80C93F02EC29}" destId="{8EA8E09F-0C03-42C2-8C71-F5B5B37045F2}" srcOrd="0" destOrd="0" presId="urn:microsoft.com/office/officeart/2005/8/layout/orgChart1"/>
    <dgm:cxn modelId="{6609572F-FC3B-4364-B589-B5D809A85A3B}" type="presParOf" srcId="{C247F1D4-877E-4FA7-91B4-80C93F02EC29}" destId="{92396821-9165-4490-ACFC-AA79BEFE6A3F}" srcOrd="1" destOrd="0" presId="urn:microsoft.com/office/officeart/2005/8/layout/orgChart1"/>
    <dgm:cxn modelId="{89A33F7D-CA7C-4DA6-972F-DF962A9E7517}" type="presParOf" srcId="{92396821-9165-4490-ACFC-AA79BEFE6A3F}" destId="{5EB5592D-A111-442F-8526-828F3457E266}" srcOrd="0" destOrd="0" presId="urn:microsoft.com/office/officeart/2005/8/layout/orgChart1"/>
    <dgm:cxn modelId="{74766D05-7F6F-4BD1-87F5-098810B99276}" type="presParOf" srcId="{5EB5592D-A111-442F-8526-828F3457E266}" destId="{9B5EBFB2-EBAB-4230-9A28-327738FFAA01}" srcOrd="0" destOrd="0" presId="urn:microsoft.com/office/officeart/2005/8/layout/orgChart1"/>
    <dgm:cxn modelId="{E8BBBBA1-DD04-4382-AAD3-74E126845AE9}" type="presParOf" srcId="{5EB5592D-A111-442F-8526-828F3457E266}" destId="{8F415CDA-F0EC-4368-8311-2601EAC2B673}" srcOrd="1" destOrd="0" presId="urn:microsoft.com/office/officeart/2005/8/layout/orgChart1"/>
    <dgm:cxn modelId="{DFBBD6CB-62BB-4A37-8F19-D7D2CD76A24C}" type="presParOf" srcId="{92396821-9165-4490-ACFC-AA79BEFE6A3F}" destId="{C3D1DBBC-7158-4883-88C7-9B26184FF4A0}" srcOrd="1" destOrd="0" presId="urn:microsoft.com/office/officeart/2005/8/layout/orgChart1"/>
    <dgm:cxn modelId="{0C6CB7E4-B6BB-4595-80B7-B1ACD2CD2125}" type="presParOf" srcId="{92396821-9165-4490-ACFC-AA79BEFE6A3F}" destId="{AD1BFB06-7ED5-463D-9A5C-4A090A140505}" srcOrd="2" destOrd="0" presId="urn:microsoft.com/office/officeart/2005/8/layout/orgChart1"/>
    <dgm:cxn modelId="{1B2BAF5D-835F-4FEC-B685-145460CC21BD}" type="presParOf" srcId="{C247F1D4-877E-4FA7-91B4-80C93F02EC29}" destId="{8AD6D5AD-A251-4F31-815C-ED644E2BBCE7}" srcOrd="2" destOrd="0" presId="urn:microsoft.com/office/officeart/2005/8/layout/orgChart1"/>
    <dgm:cxn modelId="{5177B9F4-7F6A-4D25-9553-6DFA98102870}" type="presParOf" srcId="{C247F1D4-877E-4FA7-91B4-80C93F02EC29}" destId="{C1DCC59B-28CF-40E1-A08A-69C86162AE2B}" srcOrd="3" destOrd="0" presId="urn:microsoft.com/office/officeart/2005/8/layout/orgChart1"/>
    <dgm:cxn modelId="{A5E8ED60-74EA-47BE-908E-5BA1748DFC29}" type="presParOf" srcId="{C1DCC59B-28CF-40E1-A08A-69C86162AE2B}" destId="{1EE9778F-7FA8-49F8-9AB7-04D3F27CAFC8}" srcOrd="0" destOrd="0" presId="urn:microsoft.com/office/officeart/2005/8/layout/orgChart1"/>
    <dgm:cxn modelId="{E852F80A-CAFB-4BA8-AC03-D7F88842E5F4}" type="presParOf" srcId="{1EE9778F-7FA8-49F8-9AB7-04D3F27CAFC8}" destId="{861F7EDB-E807-4D2A-879B-8F77F9079173}" srcOrd="0" destOrd="0" presId="urn:microsoft.com/office/officeart/2005/8/layout/orgChart1"/>
    <dgm:cxn modelId="{7E46AA72-83BE-4E25-9976-1AD558A836AA}" type="presParOf" srcId="{1EE9778F-7FA8-49F8-9AB7-04D3F27CAFC8}" destId="{284E7EC2-0C45-4910-ADE4-A664C28643FD}" srcOrd="1" destOrd="0" presId="urn:microsoft.com/office/officeart/2005/8/layout/orgChart1"/>
    <dgm:cxn modelId="{A6A46F0F-9A6B-4FC4-A21C-525690A20773}" type="presParOf" srcId="{C1DCC59B-28CF-40E1-A08A-69C86162AE2B}" destId="{62104976-53B1-44B3-BFE5-013E0B67ADD1}" srcOrd="1" destOrd="0" presId="urn:microsoft.com/office/officeart/2005/8/layout/orgChart1"/>
    <dgm:cxn modelId="{2348F1DE-CD80-4AD7-94B6-67A13E0C2935}" type="presParOf" srcId="{C1DCC59B-28CF-40E1-A08A-69C86162AE2B}" destId="{3C7F1C09-F24F-4AD1-8009-2551E83C61B9}" srcOrd="2" destOrd="0" presId="urn:microsoft.com/office/officeart/2005/8/layout/orgChart1"/>
    <dgm:cxn modelId="{2AB4B830-7223-401B-AF3E-F9B524D63687}" type="presParOf" srcId="{C247F1D4-877E-4FA7-91B4-80C93F02EC29}" destId="{08D7A26E-AAD7-4F4B-B27B-EA9462B13435}" srcOrd="4" destOrd="0" presId="urn:microsoft.com/office/officeart/2005/8/layout/orgChart1"/>
    <dgm:cxn modelId="{007F4F2F-577E-4E65-94F3-47352C137EE1}" type="presParOf" srcId="{C247F1D4-877E-4FA7-91B4-80C93F02EC29}" destId="{E919703E-DCF8-48A4-BEA1-EB3FCDA5050A}" srcOrd="5" destOrd="0" presId="urn:microsoft.com/office/officeart/2005/8/layout/orgChart1"/>
    <dgm:cxn modelId="{A93FF054-3467-4A29-908D-03B2ACA60BD0}" type="presParOf" srcId="{E919703E-DCF8-48A4-BEA1-EB3FCDA5050A}" destId="{4DDDFFBF-0C12-4780-9237-BF9F9BC4F9E4}" srcOrd="0" destOrd="0" presId="urn:microsoft.com/office/officeart/2005/8/layout/orgChart1"/>
    <dgm:cxn modelId="{D6AFE990-A669-4CB2-B2F1-ED412E5D5090}" type="presParOf" srcId="{4DDDFFBF-0C12-4780-9237-BF9F9BC4F9E4}" destId="{78D79D19-21E7-46B5-89BC-6D5981A12F32}" srcOrd="0" destOrd="0" presId="urn:microsoft.com/office/officeart/2005/8/layout/orgChart1"/>
    <dgm:cxn modelId="{51D012B1-7FF5-4633-A839-117D04EEA435}" type="presParOf" srcId="{4DDDFFBF-0C12-4780-9237-BF9F9BC4F9E4}" destId="{F3F25677-D1B9-4CAB-8F76-BED4174FEF6F}" srcOrd="1" destOrd="0" presId="urn:microsoft.com/office/officeart/2005/8/layout/orgChart1"/>
    <dgm:cxn modelId="{0F5D6B19-6786-47D8-9C96-C351BAF86DF0}" type="presParOf" srcId="{E919703E-DCF8-48A4-BEA1-EB3FCDA5050A}" destId="{760A66FC-CE96-45F3-893C-637795A29EE7}" srcOrd="1" destOrd="0" presId="urn:microsoft.com/office/officeart/2005/8/layout/orgChart1"/>
    <dgm:cxn modelId="{8D3B7361-D3CE-4607-8FBC-D2004331D279}" type="presParOf" srcId="{E919703E-DCF8-48A4-BEA1-EB3FCDA5050A}" destId="{4F1655DF-7B90-422C-A688-10F609FD46CE}" srcOrd="2" destOrd="0" presId="urn:microsoft.com/office/officeart/2005/8/layout/orgChart1"/>
    <dgm:cxn modelId="{94141201-D98C-47FF-9215-5ECB18FFAD01}" type="presParOf" srcId="{94D3EF08-085F-487B-A0B4-953B9B7666E8}" destId="{5A548FF9-D02B-4180-A6B5-D3123A3105C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D7A26E-AAD7-4F4B-B27B-EA9462B13435}">
      <dsp:nvSpPr>
        <dsp:cNvPr id="0" name=""/>
        <dsp:cNvSpPr/>
      </dsp:nvSpPr>
      <dsp:spPr>
        <a:xfrm>
          <a:off x="2398139" y="337336"/>
          <a:ext cx="1384157" cy="240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318"/>
              </a:lnTo>
              <a:lnTo>
                <a:pt x="1384157" y="120318"/>
              </a:lnTo>
              <a:lnTo>
                <a:pt x="1384157" y="24057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D6D5AD-A251-4F31-815C-ED644E2BBCE7}">
      <dsp:nvSpPr>
        <dsp:cNvPr id="0" name=""/>
        <dsp:cNvSpPr/>
      </dsp:nvSpPr>
      <dsp:spPr>
        <a:xfrm>
          <a:off x="2350770" y="337336"/>
          <a:ext cx="91440" cy="240574"/>
        </a:xfrm>
        <a:custGeom>
          <a:avLst/>
          <a:gdLst/>
          <a:ahLst/>
          <a:cxnLst/>
          <a:rect l="0" t="0" r="0" b="0"/>
          <a:pathLst>
            <a:path>
              <a:moveTo>
                <a:pt x="47369" y="0"/>
              </a:moveTo>
              <a:lnTo>
                <a:pt x="47369" y="120318"/>
              </a:lnTo>
              <a:lnTo>
                <a:pt x="45720" y="120318"/>
              </a:lnTo>
              <a:lnTo>
                <a:pt x="45720" y="24057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A8E09F-0C03-42C2-8C71-F5B5B37045F2}">
      <dsp:nvSpPr>
        <dsp:cNvPr id="0" name=""/>
        <dsp:cNvSpPr/>
      </dsp:nvSpPr>
      <dsp:spPr>
        <a:xfrm>
          <a:off x="1010682" y="337336"/>
          <a:ext cx="1387456" cy="240574"/>
        </a:xfrm>
        <a:custGeom>
          <a:avLst/>
          <a:gdLst/>
          <a:ahLst/>
          <a:cxnLst/>
          <a:rect l="0" t="0" r="0" b="0"/>
          <a:pathLst>
            <a:path>
              <a:moveTo>
                <a:pt x="1387456" y="0"/>
              </a:moveTo>
              <a:lnTo>
                <a:pt x="1387456" y="120318"/>
              </a:lnTo>
              <a:lnTo>
                <a:pt x="0" y="120318"/>
              </a:lnTo>
              <a:lnTo>
                <a:pt x="0" y="24057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023E41-2494-4D3E-965D-DDF315CF32D7}">
      <dsp:nvSpPr>
        <dsp:cNvPr id="0" name=""/>
        <dsp:cNvSpPr/>
      </dsp:nvSpPr>
      <dsp:spPr>
        <a:xfrm>
          <a:off x="379630" y="0"/>
          <a:ext cx="4037016" cy="3373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Целевая программа</a:t>
          </a:r>
          <a:endParaRPr lang="ru-RU" sz="1400" kern="1200" smtClean="0"/>
        </a:p>
      </dsp:txBody>
      <dsp:txXfrm>
        <a:off x="379630" y="0"/>
        <a:ext cx="4037016" cy="337335"/>
      </dsp:txXfrm>
    </dsp:sp>
    <dsp:sp modelId="{9B5EBFB2-EBAB-4230-9A28-327738FFAA01}">
      <dsp:nvSpPr>
        <dsp:cNvPr id="0" name=""/>
        <dsp:cNvSpPr/>
      </dsp:nvSpPr>
      <dsp:spPr>
        <a:xfrm>
          <a:off x="438035" y="577911"/>
          <a:ext cx="1145295" cy="4278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Долгосрочные (10-20 лет)</a:t>
          </a:r>
        </a:p>
      </dsp:txBody>
      <dsp:txXfrm>
        <a:off x="438035" y="577911"/>
        <a:ext cx="1145295" cy="427865"/>
      </dsp:txXfrm>
    </dsp:sp>
    <dsp:sp modelId="{861F7EDB-E807-4D2A-879B-8F77F9079173}">
      <dsp:nvSpPr>
        <dsp:cNvPr id="0" name=""/>
        <dsp:cNvSpPr/>
      </dsp:nvSpPr>
      <dsp:spPr>
        <a:xfrm>
          <a:off x="1823842" y="577911"/>
          <a:ext cx="1145295" cy="4278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Среднесрочные (5- 10 лет)</a:t>
          </a:r>
        </a:p>
      </dsp:txBody>
      <dsp:txXfrm>
        <a:off x="1823842" y="577911"/>
        <a:ext cx="1145295" cy="427859"/>
      </dsp:txXfrm>
    </dsp:sp>
    <dsp:sp modelId="{78D79D19-21E7-46B5-89BC-6D5981A12F32}">
      <dsp:nvSpPr>
        <dsp:cNvPr id="0" name=""/>
        <dsp:cNvSpPr/>
      </dsp:nvSpPr>
      <dsp:spPr>
        <a:xfrm>
          <a:off x="3209649" y="577911"/>
          <a:ext cx="1145295" cy="4101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Краткосрочные (до 5 лет)</a:t>
          </a:r>
        </a:p>
      </dsp:txBody>
      <dsp:txXfrm>
        <a:off x="3209649" y="577911"/>
        <a:ext cx="1145295" cy="4101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4F1E-F09E-43E3-AE2E-7579EBDF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35</Pages>
  <Words>8210</Words>
  <Characters>46803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2020-01-22T05:03:00Z</dcterms:created>
  <dcterms:modified xsi:type="dcterms:W3CDTF">2020-01-31T10:09:00Z</dcterms:modified>
</cp:coreProperties>
</file>